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0AD13" w14:textId="77777777" w:rsidR="00D273CC" w:rsidRDefault="00000000">
      <w:pPr>
        <w:pStyle w:val="Titre1"/>
      </w:pPr>
      <w:bookmarkStart w:id="0" w:name="introduction"/>
      <w:r>
        <w:t>1. Introduction</w:t>
      </w:r>
    </w:p>
    <w:p w14:paraId="595C77F6" w14:textId="77777777" w:rsidR="00D273CC"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4B72EBD6" w14:textId="77777777" w:rsidR="00D273CC" w:rsidRDefault="00000000">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w:t>
      </w:r>
      <w:r>
        <w:lastRenderedPageBreak/>
        <w:t xml:space="preserve">objective tasks assessing visual imagery. This need is highlighted by the heterogeneity and complexity 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In light of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12CE57EC" w14:textId="77777777" w:rsidR="00D273CC" w:rsidRDefault="00000000">
      <w:pPr>
        <w:pStyle w:val="Corpsdetexte"/>
      </w:pPr>
      <w:r>
        <w:t xml:space="preserve">Some researchers doubt that mental imagery could be completely absent, and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behavioural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They found no differences in accuracy between the groups, but slower RTs and lower confidence in the aphantasics’ answers, and argued that this result was consistent with aphantasics having the visual images required </w:t>
      </w:r>
      <w:r>
        <w:rPr>
          <w:shd w:val="clear" w:color="auto" w:fill="FFFF00"/>
        </w:rPr>
        <w:t>to succeed at the task, albeit without the knowledge of</w:t>
      </w:r>
      <w:r>
        <w:t xml:space="preserve"> “how they did it”.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w:t>
      </w:r>
      <w:r>
        <w:lastRenderedPageBreak/>
        <w:t xml:space="preserve">could be interpreted as reflecting an unconscious comparison of a visual image with the stimuli perceived by the aphantasic participant. </w:t>
      </w:r>
      <w:r>
        <w:rPr>
          <w:shd w:val="clear" w:color="auto" w:fill="FFFF00"/>
        </w:rPr>
        <w:t>Although on a N = 1 case study, this result may still suggest</w:t>
      </w:r>
      <w:r>
        <w:t xml:space="preserve"> 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w:t>
      </w:r>
      <w:r>
        <w:t xml:space="preserve"> Jacobs et al. (2018); Knight et al. (2022); Liu &amp; Bartolomeo (2023); Monzel et al. (2021)], prevents from firmly concluding from these results regarding the existence of unconscious mental images.</w:t>
      </w:r>
    </w:p>
    <w:p w14:paraId="110FB0C9" w14:textId="77777777" w:rsidR="00D273CC" w:rsidRDefault="00000000">
      <w:pPr>
        <w:pStyle w:val="Corpsdetexte"/>
      </w:pPr>
      <w:r>
        <w:t xml:space="preserve">On the other hand, several studies that sought to develop objective measures assessing visual imagery found </w:t>
      </w:r>
      <w:r>
        <w:rPr>
          <w:shd w:val="clear" w:color="auto" w:fill="FFFF00"/>
        </w:rPr>
        <w:t>consistent behavioural and physiological differences between aphantasics and controls on imagery tasks, thus challenging Nanay’s (2020) hypothesis of unconscious mental imagery in aphantasia</w:t>
      </w:r>
      <w:r>
        <w:t xml:space="preserve"> (see also Blomkvist, 2022). Aphantasics have been shown to have a </w:t>
      </w:r>
      <w:r>
        <w:rPr>
          <w:shd w:val="clear" w:color="auto" w:fill="FFFF00"/>
        </w:rPr>
        <w:t>reduced</w:t>
      </w:r>
      <w:r>
        <w:t xml:space="preserve"> skin conductance response to frightening scenarios (Wicken et al., 2021), a reduced automatic pupil dilatation in reaction to imagined bright stimuli (Kay et al., 2022), or a reduced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aphantasia, and has already been used for this purpose in several subsequent studies (Chang, Zhang, et al., 2023; e.g., Keogh &amp; Pearson, 2020). In their initial study, they investigated visual imagery in aphantasics and controls using a binocular rivalry paradigm: in this task, participants </w:t>
      </w:r>
      <w:r>
        <w:lastRenderedPageBreak/>
        <w:t>were cued either with the letter “R” (for red) or the letter “G” (for green) and had to 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14:paraId="21FDBD67" w14:textId="77777777" w:rsidR="00D273CC" w:rsidRDefault="00000000">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Cabbai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w:t>
      </w:r>
      <w:r>
        <w:lastRenderedPageBreak/>
        <w:t>fill this gap by designing an implicit priming task that would allow us to study unconscious mental images in aphantasia.</w:t>
      </w:r>
    </w:p>
    <w:p w14:paraId="1E57DC9B" w14:textId="77777777" w:rsidR="00D273CC" w:rsidRDefault="00000000">
      <w:pPr>
        <w:pStyle w:val="Titre2"/>
      </w:pPr>
      <w:bookmarkStart w:id="1" w:name="the-present-study"/>
      <w:r>
        <w:t>The present study</w:t>
      </w:r>
    </w:p>
    <w:p w14:paraId="2BB6E506" w14:textId="77777777" w:rsidR="00D273CC" w:rsidRDefault="00000000">
      <w:pPr>
        <w:pStyle w:val="FirstParagraph"/>
      </w:pPr>
      <w:r>
        <w:t>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14:paraId="227CF24B" w14:textId="77777777" w:rsidR="00D273CC" w:rsidRDefault="00000000">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 </w:t>
      </w:r>
      <w:hyperlink w:anchor="fig-protocol-asso">
        <w:r>
          <w:rPr>
            <w:rStyle w:val="Lienhypertexte"/>
          </w:rPr>
          <w:t>Figure 1</w:t>
        </w:r>
      </w:hyperlink>
      <w:r>
        <w:t xml:space="preserve"> and </w:t>
      </w:r>
      <w:hyperlink w:anchor="fig-protocol-implicit">
        <w:r>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w:t>
      </w:r>
      <w:r>
        <w:lastRenderedPageBreak/>
        <w:t>incongruent with the colour was then presented as a target, and participants were asked to indicate the orientation of the lines of the target.</w:t>
      </w:r>
    </w:p>
    <w:p w14:paraId="2E67FC4B" w14:textId="77777777" w:rsidR="00D273CC" w:rsidRDefault="00000000">
      <w:pPr>
        <w:pStyle w:val="Corpsdetexte"/>
      </w:pPr>
      <w:r>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664682F0" w14:textId="77777777" w:rsidR="00D273CC" w:rsidRDefault="00000000">
      <w:pPr>
        <w:pStyle w:val="Corpsdetexte"/>
      </w:pPr>
      <w:r>
        <w:rPr>
          <w:shd w:val="clear" w:color="auto" w:fill="FFFF00"/>
        </w:rPr>
        <w:t>In addition, we carried out a second analysis by defining</w:t>
      </w:r>
      <w:r>
        <w:t xml:space="preserve"> “finer-grained” VVIQ sub-groups, with a subset of our sample composed solely of aphantasics with a minimal VVIQ score of 16, people with low imagery (VVIQ between 17 and 32), hereinafter called “hypophantasics” (using the terminology from Reeder &amp; Pounder, 2024), and controls (our sample included only two participants with VVIQ </w:t>
      </w:r>
      <m:oMath>
        <m:r>
          <m:rPr>
            <m:sty m:val="p"/>
          </m:rPr>
          <w:rPr>
            <w:rFonts w:ascii="Cambria Math" w:hAnsi="Cambria Math"/>
          </w:rPr>
          <m:t>&gt;</m:t>
        </m:r>
      </m:oMath>
      <w: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Pr>
          <w:i/>
          <w:iCs/>
        </w:rPr>
        <w:t>completely absent</w:t>
      </w:r>
      <w:r>
        <w:t xml:space="preserve"> imagery could be qualitatively very distinct from having only </w:t>
      </w:r>
      <w:r>
        <w:rPr>
          <w:i/>
          <w:iCs/>
        </w:rPr>
        <w:t>vague</w:t>
      </w:r>
      <w:r>
        <w:t xml:space="preserve"> images (Blomkvist &amp; Marks, 2023; Dance et al., 2022; Liu &amp; Bartolomeo, 2023; Muraki et al., 2023). The object of our study, unconscious mental images, is a difficult phenomenon to reach, so this additional analysis could be crucial to judge the effects of our paradigm.</w:t>
      </w:r>
    </w:p>
    <w:p w14:paraId="3A1A2C25" w14:textId="77777777" w:rsidR="00D273CC" w:rsidRDefault="00000000">
      <w:pPr>
        <w:pStyle w:val="Corpsdetexte"/>
      </w:pPr>
      <w:r>
        <w:lastRenderedPageBreak/>
        <w:t>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p w14:paraId="191C640E" w14:textId="77777777" w:rsidR="00D273CC" w:rsidRDefault="00000000">
      <w:pPr>
        <w:pStyle w:val="Titre1"/>
      </w:pPr>
      <w:bookmarkStart w:id="2" w:name="methods"/>
      <w:bookmarkEnd w:id="0"/>
      <w:bookmarkEnd w:id="1"/>
      <w:r>
        <w:t>2. Methods</w:t>
      </w:r>
    </w:p>
    <w:p w14:paraId="7137340A" w14:textId="77777777" w:rsidR="00D273CC" w:rsidRDefault="00000000">
      <w:pPr>
        <w:pStyle w:val="Titre2"/>
      </w:pPr>
      <w:bookmarkStart w:id="3" w:name="participants"/>
      <w:r>
        <w:t>2.1 Participants</w:t>
      </w:r>
    </w:p>
    <w:p w14:paraId="6DD4645B" w14:textId="77777777" w:rsidR="00D273CC"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081AF9AA" w14:textId="77777777" w:rsidR="00D273CC" w:rsidRDefault="00000000">
      <w:pPr>
        <w:pStyle w:val="Corpsdetexte"/>
      </w:pPr>
      <w:r>
        <w:lastRenderedPageBreak/>
        <w:t>The study was carried out following the recommendations of the French Law (Loi Jardé n◦2012- 300) with written informed consent being obtained from all the participants following the Declaration of Helsinki.</w:t>
      </w:r>
    </w:p>
    <w:p w14:paraId="0DE892F4" w14:textId="77777777" w:rsidR="00D273CC" w:rsidRDefault="00000000">
      <w:pPr>
        <w:pStyle w:val="Titre2"/>
      </w:pPr>
      <w:bookmarkStart w:id="4" w:name="questionnaires"/>
      <w:bookmarkEnd w:id="3"/>
      <w:r>
        <w:t>2.2 Questionnaires</w:t>
      </w:r>
    </w:p>
    <w:p w14:paraId="2E5A43DA" w14:textId="77777777" w:rsidR="00D273CC" w:rsidRDefault="00000000">
      <w:pPr>
        <w:pStyle w:val="Titre3"/>
      </w:pPr>
      <w:bookmarkStart w:id="5" w:name="X1d51a2435262cd1dfd890752327330768ba3028"/>
      <w:r>
        <w:t>2.2.1 Vividness of Visual Imagery Questionnaire - French adaptation (VVIQ-F)</w:t>
      </w:r>
    </w:p>
    <w:p w14:paraId="57E9D849" w14:textId="77777777" w:rsidR="00D273CC"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411B5D68" w14:textId="77777777" w:rsidR="00D273CC" w:rsidRDefault="00000000">
      <w:pPr>
        <w:pStyle w:val="Titre3"/>
      </w:pPr>
      <w:bookmarkStart w:id="6" w:name="spontaneous-use-of-imagery-scale-suis"/>
      <w:bookmarkEnd w:id="5"/>
      <w:r>
        <w:t>2.2.2 Spontaneous use of imagery scale (SUIS)</w:t>
      </w:r>
    </w:p>
    <w:p w14:paraId="51DB4668" w14:textId="77777777" w:rsidR="00D273CC" w:rsidRDefault="00000000">
      <w:pPr>
        <w:pStyle w:val="FirstParagraph"/>
      </w:pPr>
      <w:r>
        <w:t>The French version of the SUIS (SUIS-F, Ceschi &amp; Pictet,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6428E5A3" w14:textId="77777777" w:rsidR="00D273CC" w:rsidRDefault="00000000">
      <w:pPr>
        <w:pStyle w:val="Titre3"/>
      </w:pPr>
      <w:bookmarkStart w:id="7" w:name="X2bc83abff541965fd37e06324737514392dddf1"/>
      <w:bookmarkEnd w:id="6"/>
      <w:r>
        <w:t>2.2.3 Object and spatial imagery questionnaire (OSIQ)</w:t>
      </w:r>
    </w:p>
    <w:p w14:paraId="0FFE8099" w14:textId="77777777" w:rsidR="00D273CC" w:rsidRDefault="00000000">
      <w:pPr>
        <w:pStyle w:val="FirstParagraph"/>
      </w:pPr>
      <w:r>
        <w:t xml:space="preserve">The French version of the OSIQ (Dutriaux, unpublished, adapted from Blazhenkova et al., 2006) used in this study was adapted in a Google Form version. It consists of 30 items, half of the items (i.e., 15 items) are used to assess participants’ ability to imagine an </w:t>
      </w:r>
      <w:r>
        <w:lastRenderedPageBreak/>
        <w:t>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(“Totally disagree”) to 5 (“Totally agree”).</w:t>
      </w:r>
    </w:p>
    <w:p w14:paraId="31983404" w14:textId="77777777" w:rsidR="00D273CC" w:rsidRDefault="00000000">
      <w:pPr>
        <w:pStyle w:val="Titre2"/>
      </w:pPr>
      <w:bookmarkStart w:id="8" w:name="stimuli"/>
      <w:bookmarkEnd w:id="4"/>
      <w:bookmarkEnd w:id="7"/>
      <w:r>
        <w:t>2.3 Stimuli</w:t>
      </w:r>
    </w:p>
    <w:p w14:paraId="37104D67" w14:textId="77777777" w:rsidR="00D273CC" w:rsidRDefault="00000000">
      <w:pPr>
        <w:pStyle w:val="Titre3"/>
      </w:pPr>
      <w:bookmarkStart w:id="9" w:name="gabor-patterns"/>
      <w:r>
        <w:t>2.3.1 Gabor patterns</w:t>
      </w:r>
    </w:p>
    <w:p w14:paraId="07763AFE" w14:textId="77777777" w:rsidR="00D273CC" w:rsidRDefault="00000000">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 </w:t>
      </w:r>
      <m:oMath>
        <m:r>
          <m:rPr>
            <m:sty m:val="p"/>
          </m:rPr>
          <w:rPr>
            <w:rFonts w:ascii="Cambria Math" w:hAnsi="Cambria Math"/>
          </w:rPr>
          <m:t>×</m:t>
        </m:r>
      </m:oMath>
      <w:r>
        <w:t xml:space="preserve"> 160 pixels background.</w:t>
      </w:r>
    </w:p>
    <w:p w14:paraId="5DC1DC31" w14:textId="77777777" w:rsidR="00D273CC" w:rsidRDefault="00000000">
      <w:pPr>
        <w:pStyle w:val="Titre3"/>
      </w:pPr>
      <w:bookmarkStart w:id="10" w:name="cues"/>
      <w:bookmarkEnd w:id="9"/>
      <w:r>
        <w:t>2.3.2 Cues</w:t>
      </w:r>
    </w:p>
    <w:p w14:paraId="71292D4C" w14:textId="77777777" w:rsidR="00D273CC" w:rsidRDefault="00000000">
      <w:pPr>
        <w:pStyle w:val="FirstParagraph"/>
      </w:pPr>
      <w:r>
        <w:t>Two cues were generated: a red circle and a blue circle. Both were of the same size as the Gabor patterns and were superposed on a white 160x160 pixels background.</w:t>
      </w:r>
    </w:p>
    <w:p w14:paraId="53BBB338" w14:textId="77777777" w:rsidR="00D273CC" w:rsidRDefault="00000000">
      <w:pPr>
        <w:pStyle w:val="Titre2"/>
      </w:pPr>
      <w:bookmarkStart w:id="11" w:name="software"/>
      <w:bookmarkEnd w:id="8"/>
      <w:bookmarkEnd w:id="10"/>
      <w:r>
        <w:t>2.4 Software</w:t>
      </w:r>
    </w:p>
    <w:p w14:paraId="62D759DC" w14:textId="77777777" w:rsidR="00D273CC" w:rsidRDefault="00000000">
      <w:pPr>
        <w:pStyle w:val="FirstParagraph"/>
      </w:pPr>
      <w:r>
        <w:t>The tasks were programmed using OpenSesame (Mathôt et al., 2012) and were uploaded on Jatos (Lange et al., 2015), a server used to run experiments online. All the experimental material is openly available on OSF (</w:t>
      </w:r>
      <w:hyperlink r:id="rId7">
        <w:r>
          <w:rPr>
            <w:rStyle w:val="Lienhypertexte"/>
          </w:rPr>
          <w:t>https://osf.io/635dv/?view_only=72898c1e036c456b97e688629563a47f</w:t>
        </w:r>
      </w:hyperlink>
      <w:r>
        <w:t>).</w:t>
      </w:r>
    </w:p>
    <w:p w14:paraId="7A9F4A0D" w14:textId="77777777" w:rsidR="00D273CC" w:rsidRDefault="00000000">
      <w:pPr>
        <w:pStyle w:val="Titre2"/>
      </w:pPr>
      <w:bookmarkStart w:id="12" w:name="sec-procedure"/>
      <w:bookmarkEnd w:id="11"/>
      <w:r>
        <w:lastRenderedPageBreak/>
        <w:t>2.5 Procedure</w:t>
      </w:r>
    </w:p>
    <w:p w14:paraId="4BE8BB99" w14:textId="77777777" w:rsidR="00D273CC" w:rsidRDefault="00000000">
      <w:pPr>
        <w:pStyle w:val="FirstParagraph"/>
      </w:pPr>
      <w:r>
        <w:t>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9054"/>
      </w:tblGrid>
      <w:tr w:rsidR="00D273CC" w14:paraId="66EE1195" w14:textId="77777777">
        <w:tc>
          <w:tcPr>
            <w:tcW w:w="7920" w:type="dxa"/>
          </w:tcPr>
          <w:p w14:paraId="3A71C58F" w14:textId="77777777" w:rsidR="00D273CC" w:rsidRDefault="00000000">
            <w:pPr>
              <w:pStyle w:val="Compact"/>
            </w:pPr>
            <w:bookmarkStart w:id="13" w:name="fig-protocol-asso"/>
            <w:r>
              <w:rPr>
                <w:noProof/>
              </w:rPr>
              <w:drawing>
                <wp:inline distT="0" distB="0" distL="0" distR="0" wp14:anchorId="4D2729E2" wp14:editId="727E9FB6">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8"/>
                          <a:stretch>
                            <a:fillRect/>
                          </a:stretch>
                        </pic:blipFill>
                        <pic:spPr bwMode="auto">
                          <a:xfrm>
                            <a:off x="0" y="0"/>
                            <a:ext cx="5511452" cy="1937358"/>
                          </a:xfrm>
                          <a:prstGeom prst="rect">
                            <a:avLst/>
                          </a:prstGeom>
                          <a:noFill/>
                          <a:ln w="9525">
                            <a:noFill/>
                            <a:headEnd/>
                            <a:tailEnd/>
                          </a:ln>
                        </pic:spPr>
                      </pic:pic>
                    </a:graphicData>
                  </a:graphic>
                </wp:inline>
              </w:drawing>
            </w:r>
          </w:p>
          <w:p w14:paraId="39B4C4C8" w14:textId="77777777" w:rsidR="00D273CC" w:rsidRDefault="00000000">
            <w:pPr>
              <w:pStyle w:val="ImageCaption"/>
              <w:spacing w:before="200"/>
              <w:jc w:val="left"/>
            </w:pPr>
            <w:r>
              <w:t xml:space="preserve">Figure 1: </w:t>
            </w:r>
            <w:r>
              <w:rPr>
                <w:b/>
                <w:iCs/>
              </w:rPr>
              <w:t>Associative task.</w:t>
            </w:r>
            <w:r>
              <w:t xml:space="preserve"> A fixation cross (500 ms) is followed by one of the two coloured Gabor. Participants had to indicate the colour of the Gabor by pressing the corresponding key (either R for Red or B for Blue), without time constraint. Each Gabor was presented 50 times.</w:t>
            </w:r>
          </w:p>
        </w:tc>
        <w:bookmarkEnd w:id="13"/>
      </w:tr>
    </w:tbl>
    <w:p w14:paraId="562574AB" w14:textId="77777777" w:rsidR="00D273CC" w:rsidRDefault="00000000">
      <w:pPr>
        <w:pStyle w:val="Corpsdetexte"/>
      </w:pPr>
      <w:r>
        <w:t>Participants began with the implicit priming task. This task began with an associative phase (</w:t>
      </w:r>
      <w:hyperlink w:anchor="fig-protocol-asso">
        <w:r>
          <w:rPr>
            <w:rStyle w:val="Lienhypertexte"/>
          </w:rPr>
          <w:t>Figure 1</w:t>
        </w:r>
      </w:hyperlink>
      <w:r>
        <w:t>)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Figure 2</w:t>
        </w:r>
      </w:hyperlink>
      <w:r>
        <w:t xml:space="preserve">) in which a fixation cross (500 ms) was followed by a cue (150 </w:t>
      </w:r>
      <w:r>
        <w:lastRenderedPageBreak/>
        <w:t xml:space="preserve">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 </w:t>
      </w:r>
      <w:r>
        <w:rPr>
          <w:shd w:val="clear" w:color="auto" w:fill="FFFF00"/>
        </w:rPr>
        <w:t>Response mapping was not randomised due to the structure of the task: as there were as many congruent trials as incongruent ones, participants could not reliably predict the correct response based on the cue alone and a cue-response key association. Should they respond solely based on the key they associated with a cue, responses would be close to random, which could be easily spotted in the data. Consequently, learning a response key associated with a cue was not relevant and randomisation was not deemed necessary.</w:t>
      </w:r>
    </w:p>
    <w:tbl>
      <w:tblPr>
        <w:tblStyle w:val="Table"/>
        <w:tblW w:w="5000" w:type="pct"/>
        <w:tblLayout w:type="fixed"/>
        <w:tblLook w:val="0000" w:firstRow="0" w:lastRow="0" w:firstColumn="0" w:lastColumn="0" w:noHBand="0" w:noVBand="0"/>
      </w:tblPr>
      <w:tblGrid>
        <w:gridCol w:w="9054"/>
      </w:tblGrid>
      <w:tr w:rsidR="00D273CC" w14:paraId="39A137FE" w14:textId="77777777">
        <w:tc>
          <w:tcPr>
            <w:tcW w:w="7920" w:type="dxa"/>
          </w:tcPr>
          <w:p w14:paraId="75F9A167" w14:textId="77777777" w:rsidR="00D273CC" w:rsidRDefault="00000000">
            <w:pPr>
              <w:pStyle w:val="Compact"/>
            </w:pPr>
            <w:bookmarkStart w:id="14" w:name="fig-protocol-implicit"/>
            <w:r>
              <w:rPr>
                <w:noProof/>
              </w:rPr>
              <w:lastRenderedPageBreak/>
              <w:drawing>
                <wp:inline distT="0" distB="0" distL="0" distR="0" wp14:anchorId="7EC1F66F" wp14:editId="72180120">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9"/>
                          <a:stretch>
                            <a:fillRect/>
                          </a:stretch>
                        </pic:blipFill>
                        <pic:spPr bwMode="auto">
                          <a:xfrm>
                            <a:off x="0" y="0"/>
                            <a:ext cx="5600700" cy="3113209"/>
                          </a:xfrm>
                          <a:prstGeom prst="rect">
                            <a:avLst/>
                          </a:prstGeom>
                          <a:noFill/>
                          <a:ln w="9525">
                            <a:noFill/>
                            <a:headEnd/>
                            <a:tailEnd/>
                          </a:ln>
                        </pic:spPr>
                      </pic:pic>
                    </a:graphicData>
                  </a:graphic>
                </wp:inline>
              </w:drawing>
            </w:r>
          </w:p>
          <w:p w14:paraId="04B1F218" w14:textId="77777777" w:rsidR="00D273CC" w:rsidRDefault="00000000">
            <w:pPr>
              <w:pStyle w:val="ImageCaption"/>
              <w:spacing w:before="200"/>
              <w:jc w:val="left"/>
            </w:pPr>
            <w:r>
              <w:t xml:space="preserve">Figure 2: </w:t>
            </w:r>
            <w:r>
              <w:rPr>
                <w:b/>
                <w:iCs/>
              </w:rPr>
              <w:t>Implicit priming task.</w:t>
            </w:r>
            <w:r>
              <w:t xml:space="preserve"> 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tc>
        <w:bookmarkEnd w:id="14"/>
      </w:tr>
    </w:tbl>
    <w:p w14:paraId="78EDEABB" w14:textId="77777777" w:rsidR="00D273CC" w:rsidRDefault="00000000">
      <w:pPr>
        <w:pStyle w:val="Corpsdetexte"/>
      </w:pPr>
      <w:r>
        <w:t>After the implicit priming task and a short break, participants transitioned to the explicit task (</w:t>
      </w:r>
      <w:hyperlink w:anchor="fig-protocol-explicit">
        <w:r>
          <w:rPr>
            <w:rStyle w:val="Lienhypertexte"/>
          </w:rPr>
          <w:t>Figure 3</w:t>
        </w:r>
      </w:hyperlink>
      <w:r>
        <w:t xml:space="preserve">)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w:t>
      </w:r>
      <w:r>
        <w:lastRenderedPageBreak/>
        <w:t>(coloured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w="5000" w:type="pct"/>
        <w:tblLayout w:type="fixed"/>
        <w:tblLook w:val="0000" w:firstRow="0" w:lastRow="0" w:firstColumn="0" w:lastColumn="0" w:noHBand="0" w:noVBand="0"/>
      </w:tblPr>
      <w:tblGrid>
        <w:gridCol w:w="9054"/>
      </w:tblGrid>
      <w:tr w:rsidR="00D273CC" w14:paraId="3816BC3F" w14:textId="77777777">
        <w:tc>
          <w:tcPr>
            <w:tcW w:w="7920" w:type="dxa"/>
          </w:tcPr>
          <w:p w14:paraId="5A52F182" w14:textId="77777777" w:rsidR="00D273CC" w:rsidRDefault="00000000">
            <w:pPr>
              <w:pStyle w:val="Compact"/>
            </w:pPr>
            <w:bookmarkStart w:id="15" w:name="fig-protocol-explicit"/>
            <w:r>
              <w:rPr>
                <w:noProof/>
              </w:rPr>
              <w:drawing>
                <wp:inline distT="0" distB="0" distL="0" distR="0" wp14:anchorId="1DF00BC2" wp14:editId="1CFFD0F1">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0"/>
                          <a:stretch>
                            <a:fillRect/>
                          </a:stretch>
                        </pic:blipFill>
                        <pic:spPr bwMode="auto">
                          <a:xfrm>
                            <a:off x="0" y="0"/>
                            <a:ext cx="5511452" cy="2901863"/>
                          </a:xfrm>
                          <a:prstGeom prst="rect">
                            <a:avLst/>
                          </a:prstGeom>
                          <a:noFill/>
                          <a:ln w="9525">
                            <a:noFill/>
                            <a:headEnd/>
                            <a:tailEnd/>
                          </a:ln>
                        </pic:spPr>
                      </pic:pic>
                    </a:graphicData>
                  </a:graphic>
                </wp:inline>
              </w:drawing>
            </w:r>
          </w:p>
          <w:p w14:paraId="3B07DF85" w14:textId="77777777" w:rsidR="00D273CC" w:rsidRDefault="00000000">
            <w:pPr>
              <w:pStyle w:val="ImageCaption"/>
              <w:spacing w:before="200"/>
              <w:jc w:val="left"/>
            </w:pPr>
            <w:r>
              <w:t xml:space="preserve">Figure 3: </w:t>
            </w:r>
            <w:r>
              <w:rPr>
                <w:b/>
                <w:iCs/>
              </w:rPr>
              <w:t>Explicit priming task.</w:t>
            </w:r>
            <w:r>
              <w:t xml:space="preserve">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tc>
        <w:bookmarkEnd w:id="15"/>
      </w:tr>
    </w:tbl>
    <w:p w14:paraId="5B4088F0" w14:textId="77777777" w:rsidR="00D273CC" w:rsidRDefault="00000000">
      <w:pPr>
        <w:pStyle w:val="Titre2"/>
      </w:pPr>
      <w:bookmarkStart w:id="16" w:name="analyses"/>
      <w:bookmarkEnd w:id="12"/>
      <w:r>
        <w:lastRenderedPageBreak/>
        <w:t>2.6 Analyses</w:t>
      </w:r>
    </w:p>
    <w:p w14:paraId="55D24709" w14:textId="77777777" w:rsidR="00D273CC" w:rsidRDefault="00000000">
      <w:pPr>
        <w:pStyle w:val="FirstParagraph"/>
      </w:pPr>
      <w:r>
        <w:t>The data analysis was programmed in R language (version 4.2.0, R Core Team, 2022) on RStudio (Posit team, 2023). The raw data, code, and analysis outputs are available on OSF (</w:t>
      </w:r>
      <w:hyperlink r:id="rId11">
        <w:r>
          <w:rPr>
            <w:rStyle w:val="Lienhypertexte"/>
          </w:rPr>
          <w:t>https://osf.io/635dv/?view_only=72898c1e036c456b97e688629563a47f</w:t>
        </w:r>
      </w:hyperlink>
      <w:r>
        <w:t>).</w:t>
      </w:r>
    </w:p>
    <w:p w14:paraId="7EFC1B07" w14:textId="77777777" w:rsidR="00D273CC" w:rsidRDefault="00000000">
      <w:pPr>
        <w:pStyle w:val="Titre3"/>
      </w:pPr>
      <w:bookmarkStart w:id="17" w:name="self-report-questionnaires"/>
      <w:r>
        <w:t>2.6.1 Self-report questionnaires</w:t>
      </w:r>
    </w:p>
    <w:p w14:paraId="28A5D7ED" w14:textId="77777777" w:rsidR="00D273CC" w:rsidRDefault="00000000">
      <w:pPr>
        <w:pStyle w:val="FirstParagraph"/>
      </w:pPr>
      <w:r>
        <w:t xml:space="preserve">The scores of the four questionnaires were modelled with linear models on ranked scores to accommodate the ordinal nature of the questionnaire data and to control for the 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7D5966A7" w14:textId="77777777" w:rsidR="00D273CC" w:rsidRDefault="00000000">
      <w:pPr>
        <w:pStyle w:val="Titre3"/>
      </w:pPr>
      <w:bookmarkStart w:id="18" w:name="outlier-detection-procedure"/>
      <w:bookmarkEnd w:id="17"/>
      <w:r>
        <w:t>2.6.2 Outlier detection procedure</w:t>
      </w:r>
    </w:p>
    <w:p w14:paraId="69C4006A" w14:textId="77777777" w:rsidR="00D273CC"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1F50C424" w14:textId="77777777" w:rsidR="00D273CC" w:rsidRDefault="00000000">
      <w:pPr>
        <w:pStyle w:val="Titre3"/>
      </w:pPr>
      <w:bookmarkStart w:id="19" w:name="accuracy"/>
      <w:bookmarkEnd w:id="18"/>
      <w:r>
        <w:lastRenderedPageBreak/>
        <w:t xml:space="preserve">2.6.3 </w:t>
      </w:r>
      <w:r>
        <w:rPr>
          <w:shd w:val="clear" w:color="auto" w:fill="FFFF00"/>
        </w:rPr>
        <w:t>Accuracy</w:t>
      </w:r>
    </w:p>
    <w:p w14:paraId="7881668D" w14:textId="77777777" w:rsidR="00D273CC" w:rsidRDefault="00000000">
      <w:pPr>
        <w:pStyle w:val="FirstParagraph"/>
      </w:pPr>
      <w:r>
        <w:rPr>
          <w:shd w:val="clear" w:color="auto" w:fill="FFFF00"/>
        </w:rPr>
        <w:t>Before removing incorrect responses for the analysis of response times, we first checked for any differences in accuracy between the groups.</w:t>
      </w:r>
      <w:r>
        <w:t xml:space="preserve"> To this end, we fitted Generalized Logistic Mixed Models to predict accuracy with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The models were implemented in the </w:t>
      </w:r>
      <w:r>
        <w:rPr>
          <w:i/>
          <w:iCs/>
        </w:rPr>
        <w:t>lme4</w:t>
      </w:r>
      <w:r>
        <w:t xml:space="preserve"> R package (Bates et al., 2014).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 using the </w:t>
      </w:r>
      <w:r>
        <w:rPr>
          <w:i/>
          <w:iCs/>
        </w:rPr>
        <w:t>car</w:t>
      </w:r>
      <w:r>
        <w:t xml:space="preserve"> R package (Fox et al., 2023).</w:t>
      </w:r>
    </w:p>
    <w:p w14:paraId="17482862" w14:textId="77777777" w:rsidR="00D273CC" w:rsidRDefault="00000000">
      <w:pPr>
        <w:pStyle w:val="Titre3"/>
      </w:pPr>
      <w:bookmarkStart w:id="20" w:name="response-times"/>
      <w:bookmarkEnd w:id="19"/>
      <w:r>
        <w:t>2.6.4 Response times</w:t>
      </w:r>
    </w:p>
    <w:p w14:paraId="46420680" w14:textId="77777777" w:rsidR="00D273CC" w:rsidRDefault="00000000">
      <w:pPr>
        <w:pStyle w:val="Titre4"/>
      </w:pPr>
      <w:bookmarkStart w:id="21" w:name="power-analysis"/>
      <w:r>
        <w:t>Power analysis</w:t>
      </w:r>
    </w:p>
    <w:p w14:paraId="6E00409A" w14:textId="77777777" w:rsidR="00D273CC"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r>
        <w:rPr>
          <w:i/>
          <w:iCs/>
        </w:rPr>
        <w:t>simr</w:t>
      </w:r>
      <w:r>
        <w:t xml:space="preserve"> package (Green &amp; MacLeod, 2016) to simulate datasets reflecting the experimental design, featuring expected patterns of means and variance, and fitting generalized linear mixed models on them.</w:t>
      </w:r>
    </w:p>
    <w:p w14:paraId="1ABB4790" w14:textId="77777777" w:rsidR="00D273CC" w:rsidRDefault="00000000">
      <w:pPr>
        <w:pStyle w:val="Corpsdetexte"/>
      </w:pPr>
      <w:r>
        <w:t xml:space="preserve">Common effect sizes reported in the literature and intra-individual trial-to-trial variability in RTs in perceptual discrimination tasks have been used to simulate data and </w:t>
      </w:r>
      <w:r>
        <w:lastRenderedPageBreak/>
        <w:t>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24ms, and exceeded 90% when the effect size went up and above 30ms. Details of the procedure can be found in an extended analysis report on OSF (</w:t>
      </w:r>
      <w:hyperlink r:id="rId12">
        <w:r>
          <w:rPr>
            <w:rStyle w:val="Lienhypertexte"/>
          </w:rPr>
          <w:t>https://osf.io/635dv/?view_only=72898c1e036c456b97e688629563a47f</w:t>
        </w:r>
      </w:hyperlink>
      <w:r>
        <w:t>).</w:t>
      </w:r>
    </w:p>
    <w:p w14:paraId="1DB51D48" w14:textId="77777777" w:rsidR="00D273CC" w:rsidRDefault="00000000">
      <w:pPr>
        <w:pStyle w:val="Titre4"/>
      </w:pPr>
      <w:bookmarkStart w:id="22" w:name="generalized-linear-mixed-models"/>
      <w:bookmarkEnd w:id="21"/>
      <w:r>
        <w:t>Generalized Linear Mixed Models</w:t>
      </w:r>
    </w:p>
    <w:p w14:paraId="48310EF3" w14:textId="77777777" w:rsidR="00D273CC"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1D17582C" w14:textId="77777777" w:rsidR="00D273CC" w:rsidRDefault="00000000">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analyse unstandardised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239E45EF" w14:textId="77777777" w:rsidR="00D273CC" w:rsidRDefault="00000000">
      <w:pPr>
        <w:pStyle w:val="Titre4"/>
      </w:pPr>
      <w:bookmarkStart w:id="23" w:name="bayesian-modelling"/>
      <w:bookmarkEnd w:id="22"/>
      <w:r>
        <w:rPr>
          <w:shd w:val="clear" w:color="auto" w:fill="FFFF00"/>
        </w:rPr>
        <w:lastRenderedPageBreak/>
        <w:t>Bayesian Modelling</w:t>
      </w:r>
    </w:p>
    <w:p w14:paraId="09EDB346" w14:textId="77777777" w:rsidR="00D273CC" w:rsidRDefault="00000000">
      <w:pPr>
        <w:pStyle w:val="FirstParagraph"/>
      </w:pPr>
      <w: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 </w:t>
      </w:r>
      <w:r>
        <w:rPr>
          <w:i/>
          <w:iCs/>
        </w:rPr>
        <w:t>Congruence</w:t>
      </w:r>
      <w:r>
        <w:t xml:space="preserve"> condition (congruent or incongruent), </w:t>
      </w:r>
      <w:r>
        <w:rPr>
          <w:i/>
          <w:iCs/>
        </w:rPr>
        <w:t>Colour</w:t>
      </w:r>
      <w:r>
        <w:t xml:space="preserve"> condition (colour or uncoloured) and their two-way interaction as fixed categorical predictors, along with </w:t>
      </w:r>
      <w:r>
        <w:rPr>
          <w:i/>
          <w:iCs/>
        </w:rPr>
        <w:t>participants</w:t>
      </w:r>
      <w:r>
        <w:t xml:space="preserve"> as grouping factors. Models were implemented in the </w:t>
      </w:r>
      <w:r>
        <w:rPr>
          <w:i/>
          <w:iCs/>
        </w:rPr>
        <w:t>brms</w:t>
      </w:r>
      <w:r>
        <w:t xml:space="preserve"> R package (Bürkner, 2017). The evidence ratio of interest was then computed as the Bayes Factor between the hypothesis of a congruence effect against the null hypothesis. We report the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in favour of the null hypothesis of an absence of congruence effect for a given group alongside the contrasts in the </w:t>
      </w:r>
      <w:r>
        <w:rPr>
          <w:i/>
          <w:iCs/>
        </w:rPr>
        <w:t>Group</w:t>
      </w:r>
      <w:r>
        <w:t xml:space="preserve"> </w:t>
      </w:r>
      <m:oMath>
        <m:r>
          <m:rPr>
            <m:sty m:val="p"/>
          </m:rPr>
          <w:rPr>
            <w:rFonts w:ascii="Cambria Math" w:hAnsi="Cambria Math"/>
          </w:rPr>
          <m:t>×</m:t>
        </m:r>
      </m:oMath>
      <w:r>
        <w:t xml:space="preserve"> </w:t>
      </w:r>
      <w:r>
        <w:rPr>
          <w:i/>
          <w:iCs/>
        </w:rPr>
        <w:t>Congruence</w:t>
      </w:r>
      <w:r>
        <w:t xml:space="preserve"> interaction. The proposed interpretations of the strength of the evidence from Bayes Factor values were based on Jeffrey’s scale thresholds (see e.g., Kass &amp; Raftery, 1995).</w:t>
      </w:r>
    </w:p>
    <w:p w14:paraId="7F0348E9" w14:textId="77777777" w:rsidR="00D273CC" w:rsidRDefault="00000000">
      <w:pPr>
        <w:pStyle w:val="Titre3"/>
      </w:pPr>
      <w:bookmarkStart w:id="24" w:name="finer-grained-vviq-groups"/>
      <w:bookmarkEnd w:id="20"/>
      <w:bookmarkEnd w:id="23"/>
      <w:r>
        <w:t xml:space="preserve">2.6.5 </w:t>
      </w:r>
      <w:r>
        <w:rPr>
          <w:shd w:val="clear" w:color="auto" w:fill="FFFF00"/>
        </w:rPr>
        <w:t>Finer-grained VVIQ groups</w:t>
      </w:r>
    </w:p>
    <w:p w14:paraId="3C111399" w14:textId="77777777" w:rsidR="00D273CC" w:rsidRDefault="00000000">
      <w:pPr>
        <w:pStyle w:val="FirstParagraph"/>
      </w:pPr>
      <w:r>
        <w:t xml:space="preserve">Additional analyses were conducted with more refined groups: the aphantasic group was restricted to participants scoring at the lowest point on the VVIQ (VVIQ = 16, N = 46), an “hypophantasic” group was created with participants scoring between 17 and 32 (N = 37), and the control group was restricted to participants scoring between 33 and 74 (N = 54). Our sample included only two “hyperphantasics” (VVIQ </w:t>
      </w:r>
      <m:oMath>
        <m:r>
          <m:rPr>
            <m:sty m:val="p"/>
          </m:rPr>
          <w:rPr>
            <w:rFonts w:ascii="Cambria Math" w:hAnsi="Cambria Math"/>
          </w:rPr>
          <m:t>≥</m:t>
        </m:r>
      </m:oMath>
      <w: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76299F48" w14:textId="77777777" w:rsidR="00D273CC" w:rsidRDefault="00000000">
      <w:pPr>
        <w:pStyle w:val="Titre3"/>
      </w:pPr>
      <w:bookmarkStart w:id="25" w:name="correlation-analyses"/>
      <w:bookmarkEnd w:id="24"/>
      <w:r>
        <w:lastRenderedPageBreak/>
        <w:t>2.6.6 Correlation analyses</w:t>
      </w:r>
    </w:p>
    <w:p w14:paraId="35D09108" w14:textId="77777777" w:rsidR="00D273CC" w:rsidRDefault="00000000">
      <w:pPr>
        <w:pStyle w:val="FirstParagraph"/>
      </w:pPr>
      <w:r>
        <w:rPr>
          <w:shd w:val="clear" w:color="auto" w:fill="FFFF00"/>
        </w:rPr>
        <w:t>Spearman correlation coefficients were computed to assess the monotonic relationship between each questionnaire score and the</w:t>
      </w:r>
      <w:r>
        <w:t xml:space="preserve"> </w:t>
      </w:r>
      <w:r>
        <w:rPr>
          <w:i/>
          <w:iCs/>
        </w:rPr>
        <w:t>congruence effects</w:t>
      </w:r>
      <w:r>
        <w:t xml:space="preserve"> in both tasks. 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ordinal and that the data have an underlying group structure. </w:t>
      </w:r>
      <w:r>
        <w:rPr>
          <w:shd w:val="clear" w:color="auto" w:fill="FFFF00"/>
        </w:rPr>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1D58ADC2" w14:textId="77777777" w:rsidR="00D273CC" w:rsidRDefault="00000000">
      <w:pPr>
        <w:pStyle w:val="Titre1"/>
      </w:pPr>
      <w:bookmarkStart w:id="26" w:name="results"/>
      <w:bookmarkEnd w:id="2"/>
      <w:bookmarkEnd w:id="16"/>
      <w:bookmarkEnd w:id="25"/>
      <w:r>
        <w:t>3. Results</w:t>
      </w:r>
    </w:p>
    <w:p w14:paraId="6E0EBAC0" w14:textId="77777777" w:rsidR="00D273CC"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9054"/>
      </w:tblGrid>
      <w:tr w:rsidR="00D273CC" w14:paraId="235C1177" w14:textId="77777777">
        <w:tc>
          <w:tcPr>
            <w:tcW w:w="7920" w:type="dxa"/>
          </w:tcPr>
          <w:p w14:paraId="461F3855" w14:textId="77777777" w:rsidR="00D273CC" w:rsidRDefault="00000000">
            <w:pPr>
              <w:pStyle w:val="Compact"/>
            </w:pPr>
            <w:bookmarkStart w:id="28" w:name="fig-questionnaires"/>
            <w:r>
              <w:rPr>
                <w:noProof/>
              </w:rPr>
              <w:drawing>
                <wp:inline distT="0" distB="0" distL="0" distR="0" wp14:anchorId="1CFF819F" wp14:editId="111C82F6">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3"/>
                          <a:stretch>
                            <a:fillRect/>
                          </a:stretch>
                        </pic:blipFill>
                        <pic:spPr bwMode="auto">
                          <a:xfrm>
                            <a:off x="0" y="0"/>
                            <a:ext cx="5600700" cy="2799416"/>
                          </a:xfrm>
                          <a:prstGeom prst="rect">
                            <a:avLst/>
                          </a:prstGeom>
                          <a:noFill/>
                          <a:ln w="9525">
                            <a:noFill/>
                            <a:headEnd/>
                            <a:tailEnd/>
                          </a:ln>
                        </pic:spPr>
                      </pic:pic>
                    </a:graphicData>
                  </a:graphic>
                </wp:inline>
              </w:drawing>
            </w:r>
          </w:p>
          <w:p w14:paraId="36C0F3F7" w14:textId="77777777" w:rsidR="00D273CC" w:rsidRDefault="00000000">
            <w:pPr>
              <w:pStyle w:val="ImageCaption"/>
              <w:spacing w:before="200"/>
              <w:jc w:val="left"/>
            </w:pPr>
            <w:r>
              <w:lastRenderedPageBreak/>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1E16C7B1" w14:textId="77777777" w:rsidR="00D273CC" w:rsidRDefault="00000000">
      <w:pPr>
        <w:pStyle w:val="Corpsdetexte"/>
      </w:pPr>
      <w:r>
        <w:t xml:space="preserve">As expected, aphantasic participants reported significantly less visual imagery across questionnaires (see </w:t>
      </w:r>
      <w:hyperlink w:anchor="fig-questionnaires">
        <w:r>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6AF79363" w14:textId="77777777" w:rsidR="00D273CC" w:rsidRDefault="00000000">
      <w:pPr>
        <w:pStyle w:val="Titre2"/>
      </w:pPr>
      <w:bookmarkStart w:id="29" w:name="accuracy-1"/>
      <w:bookmarkEnd w:id="27"/>
      <w:r>
        <w:t>3.2 Accuracy</w:t>
      </w:r>
    </w:p>
    <w:p w14:paraId="36DE1EBF" w14:textId="77777777" w:rsidR="00D273CC" w:rsidRDefault="00000000">
      <w:pPr>
        <w:pStyle w:val="FirstParagraph"/>
      </w:pPr>
      <w:r>
        <w:t xml:space="preserve">The models did not reveal any difference in accuracy between the two groups, neither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1.17, </w:t>
      </w:r>
      <w:r>
        <w:rPr>
          <w:i/>
          <w:iCs/>
        </w:rPr>
        <w:t>p</w:t>
      </w:r>
      <w:r>
        <w:t xml:space="preserve"> = 0.28) nor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1.57, </w:t>
      </w:r>
      <w:r>
        <w:rPr>
          <w:i/>
          <w:iCs/>
        </w:rPr>
        <w:t>p</w:t>
      </w:r>
      <w:r>
        <w:t xml:space="preserve"> = 0.21). The only significant effect concerned the Colour condition, both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6.37, </w:t>
      </w:r>
      <w:r>
        <w:rPr>
          <w:i/>
          <w:iCs/>
        </w:rPr>
        <w:t>p</w:t>
      </w:r>
      <w:r>
        <w:t xml:space="preserve"> = 0.01) and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18.96, </w:t>
      </w:r>
      <w:r>
        <w:rPr>
          <w:i/>
          <w:iCs/>
        </w:rPr>
        <w:t>p</w:t>
      </w:r>
      <w:r>
        <w:t xml:space="preserve"> = </w:t>
      </w:r>
      <w:r>
        <w:lastRenderedPageBreak/>
        <w:t xml:space="preserve">0.21). In both cases, participants were more likely to answer correctly in the coloured condition rather than in the uncoloured ones (implicit task uncoloured/coloured odds ratio = 0.73, 95% CI [ 0.58, 0.92], </w:t>
      </w:r>
      <w:r>
        <w:rPr>
          <w:i/>
          <w:iCs/>
        </w:rPr>
        <w:t>z</w:t>
      </w:r>
      <w:r>
        <w:t xml:space="preserve"> = -2.63, </w:t>
      </w:r>
      <w:r>
        <w:rPr>
          <w:i/>
          <w:iCs/>
        </w:rPr>
        <w:t>p</w:t>
      </w:r>
      <w:r>
        <w:t xml:space="preserve"> = .009; explicit task uncoloured/coloured odds ratio = 0.52, 95% CI [ 0.39, 0.69], </w:t>
      </w:r>
      <w:r>
        <w:rPr>
          <w:i/>
          <w:iCs/>
        </w:rPr>
        <w:t>z</w:t>
      </w:r>
      <w:r>
        <w:t xml:space="preserve"> = -4.49, </w:t>
      </w:r>
      <w:r>
        <w:rPr>
          <w:i/>
          <w:iCs/>
        </w:rPr>
        <w:t>p</w:t>
      </w:r>
      <w:r>
        <w:t xml:space="preserve"> </w:t>
      </w:r>
      <m:oMath>
        <m:r>
          <m:rPr>
            <m:sty m:val="p"/>
          </m:rPr>
          <w:rPr>
            <w:rFonts w:ascii="Cambria Math" w:hAnsi="Cambria Math"/>
          </w:rPr>
          <m:t>&lt;</m:t>
        </m:r>
      </m:oMath>
      <w:r>
        <w:t xml:space="preserve"> .001). Elsewhere, in both tasks, the model did not reveal any main effects of Congruence (implicit: </w:t>
      </w:r>
      <w:r>
        <w:rPr>
          <w:i/>
          <w:iCs/>
        </w:rPr>
        <w:t>p</w:t>
      </w:r>
      <w:r>
        <w:t xml:space="preserve"> = 0.59; explicit: </w:t>
      </w:r>
      <w:r>
        <w:rPr>
          <w:i/>
          <w:iCs/>
        </w:rPr>
        <w:t>p</w:t>
      </w:r>
      <w:r>
        <w:t xml:space="preserve"> = 0.6), no Group </w:t>
      </w:r>
      <m:oMath>
        <m:r>
          <m:rPr>
            <m:sty m:val="p"/>
          </m:rPr>
          <w:rPr>
            <w:rFonts w:ascii="Cambria Math" w:hAnsi="Cambria Math"/>
          </w:rPr>
          <m:t>×</m:t>
        </m:r>
      </m:oMath>
      <w:r>
        <w:t xml:space="preserve"> Congruence interaction (implicit: </w:t>
      </w:r>
      <w:r>
        <w:rPr>
          <w:i/>
          <w:iCs/>
        </w:rPr>
        <w:t>p</w:t>
      </w:r>
      <w:r>
        <w:t xml:space="preserve"> = 0.58; explicit: </w:t>
      </w:r>
      <w:r>
        <w:rPr>
          <w:i/>
          <w:iCs/>
        </w:rPr>
        <w:t>p</w:t>
      </w:r>
      <w:r>
        <w:t xml:space="preserve"> = 0.89), no Group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0.43) and no Congruence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0.29).</w:t>
      </w:r>
    </w:p>
    <w:p w14:paraId="024E60E1" w14:textId="77777777" w:rsidR="00D273CC" w:rsidRDefault="00000000">
      <w:pPr>
        <w:pStyle w:val="Titre2"/>
      </w:pPr>
      <w:bookmarkStart w:id="30" w:name="response-times-1"/>
      <w:bookmarkEnd w:id="29"/>
      <w:r>
        <w:t>3.3 Response times</w:t>
      </w:r>
    </w:p>
    <w:p w14:paraId="13E742E6" w14:textId="77777777" w:rsidR="00D273CC" w:rsidRDefault="00000000">
      <w:pPr>
        <w:pStyle w:val="Titre3"/>
      </w:pPr>
      <w:bookmarkStart w:id="31" w:name="implicit-task"/>
      <w:r>
        <w:t>3.3.1 Implicit task</w:t>
      </w:r>
    </w:p>
    <w:p w14:paraId="29FE3D03" w14:textId="77777777" w:rsidR="00D273CC"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colour (</w:t>
      </w:r>
      <w:r>
        <w:rPr>
          <w:i/>
          <w:iCs/>
        </w:rPr>
        <w:t>p</w:t>
      </w:r>
      <w:r>
        <w:t xml:space="preserve"> = .51), no interaction between </w:t>
      </w:r>
      <w:r>
        <w:lastRenderedPageBreak/>
        <w:t>Group and colour (</w:t>
      </w:r>
      <w:r>
        <w:rPr>
          <w:i/>
          <w:iCs/>
        </w:rPr>
        <w:t>p</w:t>
      </w:r>
      <w:r>
        <w:t xml:space="preserve"> = 0.96) or Congruence and colour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9054"/>
      </w:tblGrid>
      <w:tr w:rsidR="00D273CC" w14:paraId="787F7212" w14:textId="77777777">
        <w:tc>
          <w:tcPr>
            <w:tcW w:w="7920" w:type="dxa"/>
          </w:tcPr>
          <w:p w14:paraId="19776333" w14:textId="77777777" w:rsidR="00D273CC" w:rsidRDefault="00000000">
            <w:pPr>
              <w:pStyle w:val="Compact"/>
            </w:pPr>
            <w:bookmarkStart w:id="32" w:name="fig-model-implicit"/>
            <w:r>
              <w:rPr>
                <w:noProof/>
              </w:rPr>
              <w:drawing>
                <wp:inline distT="0" distB="0" distL="0" distR="0" wp14:anchorId="0DD8D4D0" wp14:editId="5268E0F0">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4"/>
                          <a:stretch>
                            <a:fillRect/>
                          </a:stretch>
                        </pic:blipFill>
                        <pic:spPr bwMode="auto">
                          <a:xfrm>
                            <a:off x="0" y="0"/>
                            <a:ext cx="5600700" cy="2177531"/>
                          </a:xfrm>
                          <a:prstGeom prst="rect">
                            <a:avLst/>
                          </a:prstGeom>
                          <a:noFill/>
                          <a:ln w="9525">
                            <a:noFill/>
                            <a:headEnd/>
                            <a:tailEnd/>
                          </a:ln>
                        </pic:spPr>
                      </pic:pic>
                    </a:graphicData>
                  </a:graphic>
                </wp:inline>
              </w:drawing>
            </w:r>
          </w:p>
          <w:p w14:paraId="14255D78" w14:textId="77777777" w:rsidR="00D273CC" w:rsidRDefault="00000000">
            <w:pPr>
              <w:pStyle w:val="ImageCaption"/>
              <w:spacing w:before="200"/>
              <w:jc w:val="left"/>
            </w:pPr>
            <w:r>
              <w:t>Figure 5: Visualizations of the interactions between Group and Congruence in the implicit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2"/>
      </w:tr>
    </w:tbl>
    <w:p w14:paraId="4C48268E" w14:textId="77777777" w:rsidR="00D273CC" w:rsidRDefault="00000000">
      <w:pPr>
        <w:pStyle w:val="Titre3"/>
      </w:pPr>
      <w:bookmarkStart w:id="33" w:name="explicit-task"/>
      <w:bookmarkEnd w:id="31"/>
      <w:r>
        <w:t>3.3.2 Explicit task</w:t>
      </w:r>
    </w:p>
    <w:p w14:paraId="06FC05E8" w14:textId="77777777" w:rsidR="00D273CC"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xml:space="preserve">). Likewise, the faster response of controls was driving the main effect of Congruence, as aphantasics did not respond faster in </w:t>
      </w:r>
      <w:r>
        <w:lastRenderedPageBreak/>
        <w:t>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Colour (</w:t>
      </w:r>
      <w:r>
        <w:rPr>
          <w:i/>
          <w:iCs/>
        </w:rPr>
        <w:t>p</w:t>
      </w:r>
      <w:r>
        <w:t xml:space="preserve"> = 0.37) or Congruence and Colour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9054"/>
      </w:tblGrid>
      <w:tr w:rsidR="00D273CC" w14:paraId="1C6B0D90" w14:textId="77777777">
        <w:tc>
          <w:tcPr>
            <w:tcW w:w="7920" w:type="dxa"/>
          </w:tcPr>
          <w:p w14:paraId="0D7B537A" w14:textId="77777777" w:rsidR="00D273CC" w:rsidRDefault="00000000">
            <w:pPr>
              <w:pStyle w:val="Compact"/>
            </w:pPr>
            <w:bookmarkStart w:id="34" w:name="fig-model-explicit"/>
            <w:r>
              <w:rPr>
                <w:noProof/>
              </w:rPr>
              <w:drawing>
                <wp:inline distT="0" distB="0" distL="0" distR="0" wp14:anchorId="1C8A4BEE" wp14:editId="008F9CCB">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4F3E19A7" w14:textId="77777777" w:rsidR="00D273CC" w:rsidRDefault="00000000">
            <w:pPr>
              <w:pStyle w:val="ImageCaption"/>
              <w:spacing w:before="200"/>
              <w:jc w:val="left"/>
            </w:pPr>
            <w:r>
              <w:t>Figure 6: Visualizations of the interactions between Group and Congruence in the explicit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4"/>
      </w:tr>
    </w:tbl>
    <w:p w14:paraId="51F40462" w14:textId="77777777" w:rsidR="00D273CC" w:rsidRPr="00AD1429" w:rsidRDefault="00000000">
      <w:pPr>
        <w:pStyle w:val="Titre2"/>
        <w:rPr>
          <w:lang w:val="fr-FR"/>
        </w:rPr>
      </w:pPr>
      <w:bookmarkStart w:id="35" w:name="finer-grained-vviq-groups-1"/>
      <w:bookmarkEnd w:id="30"/>
      <w:bookmarkEnd w:id="33"/>
      <w:r w:rsidRPr="00AD1429">
        <w:rPr>
          <w:lang w:val="fr-FR"/>
        </w:rPr>
        <w:lastRenderedPageBreak/>
        <w:t xml:space="preserve">3.4 </w:t>
      </w:r>
      <w:proofErr w:type="spellStart"/>
      <w:r w:rsidRPr="00AD1429">
        <w:rPr>
          <w:shd w:val="clear" w:color="auto" w:fill="FFFF00"/>
          <w:lang w:val="fr-FR"/>
        </w:rPr>
        <w:t>Finer-grained</w:t>
      </w:r>
      <w:proofErr w:type="spellEnd"/>
      <w:r w:rsidRPr="00AD1429">
        <w:rPr>
          <w:shd w:val="clear" w:color="auto" w:fill="FFFF00"/>
          <w:lang w:val="fr-FR"/>
        </w:rPr>
        <w:t xml:space="preserve"> VVIQ groups</w:t>
      </w:r>
    </w:p>
    <w:p w14:paraId="195910DA" w14:textId="77777777" w:rsidR="00D273CC" w:rsidRPr="00AD1429" w:rsidRDefault="00000000">
      <w:pPr>
        <w:pStyle w:val="Titre3"/>
        <w:rPr>
          <w:lang w:val="fr-FR"/>
        </w:rPr>
      </w:pPr>
      <w:bookmarkStart w:id="36" w:name="self-report-questionnaires-2"/>
      <w:r w:rsidRPr="00AD1429">
        <w:rPr>
          <w:lang w:val="fr-FR"/>
        </w:rPr>
        <w:t>3.4.1 Self-report questionnaires</w:t>
      </w:r>
    </w:p>
    <w:tbl>
      <w:tblPr>
        <w:tblStyle w:val="Table"/>
        <w:tblW w:w="5000" w:type="pct"/>
        <w:tblLayout w:type="fixed"/>
        <w:tblLook w:val="0000" w:firstRow="0" w:lastRow="0" w:firstColumn="0" w:lastColumn="0" w:noHBand="0" w:noVBand="0"/>
      </w:tblPr>
      <w:tblGrid>
        <w:gridCol w:w="9054"/>
      </w:tblGrid>
      <w:tr w:rsidR="00D273CC" w14:paraId="61429B52" w14:textId="77777777">
        <w:tc>
          <w:tcPr>
            <w:tcW w:w="7920" w:type="dxa"/>
          </w:tcPr>
          <w:p w14:paraId="08E8283B" w14:textId="77777777" w:rsidR="00D273CC" w:rsidRDefault="00000000">
            <w:pPr>
              <w:pStyle w:val="Compact"/>
            </w:pPr>
            <w:bookmarkStart w:id="37" w:name="fig-questionnaires-finer"/>
            <w:r>
              <w:rPr>
                <w:noProof/>
              </w:rPr>
              <w:drawing>
                <wp:inline distT="0" distB="0" distL="0" distR="0" wp14:anchorId="207EB51F" wp14:editId="37F72188">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6"/>
                          <a:stretch>
                            <a:fillRect/>
                          </a:stretch>
                        </pic:blipFill>
                        <pic:spPr bwMode="auto">
                          <a:xfrm>
                            <a:off x="0" y="0"/>
                            <a:ext cx="5600700" cy="2799416"/>
                          </a:xfrm>
                          <a:prstGeom prst="rect">
                            <a:avLst/>
                          </a:prstGeom>
                          <a:noFill/>
                          <a:ln w="9525">
                            <a:noFill/>
                            <a:headEnd/>
                            <a:tailEnd/>
                          </a:ln>
                        </pic:spPr>
                      </pic:pic>
                    </a:graphicData>
                  </a:graphic>
                </wp:inline>
              </w:drawing>
            </w:r>
          </w:p>
          <w:p w14:paraId="4D5C1947" w14:textId="77777777" w:rsidR="00D273CC" w:rsidRDefault="00000000">
            <w:pPr>
              <w:pStyle w:val="ImageCaption"/>
              <w:spacing w:before="200"/>
              <w:jc w:val="left"/>
            </w:pPr>
            <w:r>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 </w:t>
            </w:r>
            <w:r>
              <w:rPr>
                <w:iCs/>
              </w:rPr>
              <w:t>p</w:t>
            </w:r>
            <w:r>
              <w:t xml:space="preserve"> </w:t>
            </w:r>
            <m:oMath>
              <m:r>
                <w:rPr>
                  <w:rFonts w:ascii="Cambria Math" w:hAnsi="Cambria Math"/>
                </w:rPr>
                <m:t>&lt;</m:t>
              </m:r>
            </m:oMath>
            <w:r>
              <w:t xml:space="preserve"> .05; *</w:t>
            </w:r>
            <w:r>
              <w:rPr>
                <w:iCs/>
              </w:rPr>
              <w:t>:</w:t>
            </w:r>
            <w:r>
              <w:t xml:space="preserve"> p* </w:t>
            </w:r>
            <m:oMath>
              <m:r>
                <w:rPr>
                  <w:rFonts w:ascii="Cambria Math" w:hAnsi="Cambria Math"/>
                </w:rPr>
                <m:t>&lt;</m:t>
              </m:r>
            </m:oMath>
            <w:r>
              <w:t xml:space="preserve"> .01; ***: </w:t>
            </w:r>
            <w:r>
              <w:rPr>
                <w:iCs/>
              </w:rPr>
              <w:t>p</w:t>
            </w:r>
            <w:r>
              <w:t xml:space="preserve"> </w:t>
            </w:r>
            <m:oMath>
              <m:r>
                <w:rPr>
                  <w:rFonts w:ascii="Cambria Math" w:hAnsi="Cambria Math"/>
                </w:rPr>
                <m:t>&lt;</m:t>
              </m:r>
            </m:oMath>
            <w:r>
              <w:t xml:space="preserve"> .001.</w:t>
            </w:r>
          </w:p>
        </w:tc>
        <w:bookmarkEnd w:id="37"/>
      </w:tr>
    </w:tbl>
    <w:p w14:paraId="534D9385" w14:textId="77777777" w:rsidR="00D273CC" w:rsidRDefault="00000000">
      <w:pPr>
        <w:pStyle w:val="Corpsdetexte"/>
      </w:pPr>
      <w:r>
        <w:t xml:space="preserve">The newly created hypophantasic group scored higher than the aphantasic group and lower than the control group on the VVIQ (see </w:t>
      </w:r>
      <w:hyperlink w:anchor="fig-questionnaires-finer">
        <w:r>
          <w:rPr>
            <w:rStyle w:val="Lienhypertexte"/>
          </w:rPr>
          <w:t>Figure 7</w:t>
        </w:r>
      </w:hyperlink>
      <w:r>
        <w:t xml:space="preserve">;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16;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22.9 </w:t>
      </w:r>
      <m:oMath>
        <m:r>
          <m:rPr>
            <m:sty m:val="p"/>
          </m:rPr>
          <w:rPr>
            <w:rFonts w:ascii="Cambria Math" w:hAnsi="Cambria Math"/>
          </w:rPr>
          <m:t>±</m:t>
        </m:r>
      </m:oMath>
      <w: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53.49 </w:t>
      </w:r>
      <m:oMath>
        <m:r>
          <m:rPr>
            <m:sty m:val="p"/>
          </m:rPr>
          <w:rPr>
            <w:rFonts w:ascii="Cambria Math" w:hAnsi="Cambria Math"/>
          </w:rPr>
          <m:t>±</m:t>
        </m:r>
      </m:oMath>
      <w:r>
        <w:t xml:space="preserve"> 1; </w:t>
      </w:r>
      <m:oMath>
        <m:r>
          <w:rPr>
            <w:rFonts w:ascii="Cambria Math" w:hAnsi="Cambria Math"/>
          </w:rPr>
          <m:t>Δ</m:t>
        </m:r>
      </m:oMath>
      <w:r>
        <w:t xml:space="preserve">(Control-Hypo.) </w:t>
      </w:r>
      <w:r w:rsidRPr="00AD1429">
        <w:rPr>
          <w:lang w:val="it-IT"/>
        </w:rPr>
        <w:t xml:space="preserve">= 30.57, 95%CI [27.37, 33.75], </w:t>
      </w:r>
      <w:r w:rsidRPr="00AD1429">
        <w:rPr>
          <w:i/>
          <w:iCs/>
          <w:lang w:val="it-IT"/>
        </w:rPr>
        <w:t>p</w:t>
      </w:r>
      <w:r w:rsidRPr="00AD1429">
        <w:rPr>
          <w:lang w:val="it-IT"/>
        </w:rPr>
        <w:t xml:space="preserve"> </w:t>
      </w:r>
      <m:oMath>
        <m:r>
          <m:rPr>
            <m:sty m:val="p"/>
          </m:rPr>
          <w:rPr>
            <w:rFonts w:ascii="Cambria Math" w:hAnsi="Cambria Math"/>
            <w:lang w:val="it-IT"/>
          </w:rPr>
          <m:t>&lt;</m:t>
        </m:r>
        <m:r>
          <w:rPr>
            <w:rFonts w:ascii="Cambria Math" w:hAnsi="Cambria Math"/>
            <w:lang w:val="it-IT"/>
          </w:rPr>
          <m:t>.001</m:t>
        </m:r>
      </m:oMath>
      <w:r w:rsidRPr="00AD1429">
        <w:rPr>
          <w:lang w:val="it-IT"/>
        </w:rPr>
        <w:t xml:space="preserve">, </w:t>
      </w:r>
      <m:oMath>
        <m:r>
          <w:rPr>
            <w:rFonts w:ascii="Cambria Math" w:hAnsi="Cambria Math"/>
          </w:rPr>
          <m:t>Δ</m:t>
        </m:r>
      </m:oMath>
      <w:r w:rsidRPr="00AD1429">
        <w:rPr>
          <w:lang w:val="it-IT"/>
        </w:rPr>
        <w:t xml:space="preserve">(Hypo.-Aph.) = 6.87, 95%CI [3.54, 10.21], </w:t>
      </w:r>
      <w:r w:rsidRPr="00AD1429">
        <w:rPr>
          <w:i/>
          <w:iCs/>
          <w:lang w:val="it-IT"/>
        </w:rPr>
        <w:t>p</w:t>
      </w:r>
      <w:r w:rsidRPr="00AD1429">
        <w:rPr>
          <w:lang w:val="it-IT"/>
        </w:rPr>
        <w:t xml:space="preserve"> </w:t>
      </w:r>
      <m:oMath>
        <m:r>
          <m:rPr>
            <m:sty m:val="p"/>
          </m:rPr>
          <w:rPr>
            <w:rFonts w:ascii="Cambria Math" w:hAnsi="Cambria Math"/>
            <w:lang w:val="it-IT"/>
          </w:rPr>
          <m:t>&lt;</m:t>
        </m:r>
        <m:r>
          <w:rPr>
            <w:rFonts w:ascii="Cambria Math" w:hAnsi="Cambria Math"/>
            <w:lang w:val="it-IT"/>
          </w:rPr>
          <m:t>.001</m:t>
        </m:r>
      </m:oMath>
      <w:r w:rsidRPr="00AD1429">
        <w:rPr>
          <w:lang w:val="it-IT"/>
        </w:rPr>
        <w:t>) and SUIS (</w:t>
      </w:r>
      <m:oMath>
        <m:sSub>
          <m:sSubPr>
            <m:ctrlPr>
              <w:rPr>
                <w:rFonts w:ascii="Cambria Math" w:hAnsi="Cambria Math"/>
              </w:rPr>
            </m:ctrlPr>
          </m:sSubPr>
          <m:e>
            <m:r>
              <w:rPr>
                <w:rFonts w:ascii="Cambria Math" w:hAnsi="Cambria Math"/>
              </w:rPr>
              <m:t>M</m:t>
            </m:r>
          </m:e>
          <m:sub>
            <m:r>
              <w:rPr>
                <w:rFonts w:ascii="Cambria Math" w:hAnsi="Cambria Math"/>
              </w:rPr>
              <m:t>Ap</m:t>
            </m:r>
            <m:r>
              <w:rPr>
                <w:rFonts w:ascii="Cambria Math" w:hAnsi="Cambria Math"/>
                <w:lang w:val="it-IT"/>
              </w:rPr>
              <m:t>h</m:t>
            </m:r>
            <m:r>
              <m:rPr>
                <m:sty m:val="p"/>
              </m:rPr>
              <w:rPr>
                <w:rFonts w:ascii="Cambria Math" w:hAnsi="Cambria Math"/>
                <w:lang w:val="it-IT"/>
              </w:rPr>
              <m:t>.</m:t>
            </m:r>
          </m:sub>
        </m:sSub>
      </m:oMath>
      <w:r w:rsidRPr="00AD1429">
        <w:rPr>
          <w:lang w:val="it-IT"/>
        </w:rPr>
        <w:t xml:space="preserve"> = 16.1 </w:t>
      </w:r>
      <m:oMath>
        <m:r>
          <m:rPr>
            <m:sty m:val="p"/>
          </m:rPr>
          <w:rPr>
            <w:rFonts w:ascii="Cambria Math" w:hAnsi="Cambria Math"/>
            <w:lang w:val="it-IT"/>
          </w:rPr>
          <m:t>±</m:t>
        </m:r>
      </m:oMath>
      <w:r w:rsidRPr="00AD1429">
        <w:rPr>
          <w:lang w:val="it-IT"/>
        </w:rPr>
        <w:t xml:space="preserve"> 0.99;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lang w:val="it-IT"/>
              </w:rPr>
              <m:t>.</m:t>
            </m:r>
          </m:sub>
        </m:sSub>
      </m:oMath>
      <w:r w:rsidRPr="00AD1429">
        <w:rPr>
          <w:lang w:val="it-IT"/>
        </w:rPr>
        <w:t xml:space="preserve"> = 18.89 </w:t>
      </w:r>
      <m:oMath>
        <m:r>
          <m:rPr>
            <m:sty m:val="p"/>
          </m:rPr>
          <w:rPr>
            <w:rFonts w:ascii="Cambria Math" w:hAnsi="Cambria Math"/>
            <w:lang w:val="it-IT"/>
          </w:rPr>
          <m:t>±</m:t>
        </m:r>
      </m:oMath>
      <w:r w:rsidRPr="00AD1429">
        <w:rPr>
          <w:lang w:val="it-IT"/>
        </w:rP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AD1429">
        <w:rPr>
          <w:lang w:val="it-IT"/>
        </w:rPr>
        <w:t xml:space="preserve"> = 36.98 </w:t>
      </w:r>
      <m:oMath>
        <m:r>
          <m:rPr>
            <m:sty m:val="p"/>
          </m:rPr>
          <w:rPr>
            <w:rFonts w:ascii="Cambria Math" w:hAnsi="Cambria Math"/>
            <w:lang w:val="it-IT"/>
          </w:rPr>
          <m:t>±</m:t>
        </m:r>
      </m:oMath>
      <w:r w:rsidRPr="00AD1429">
        <w:rPr>
          <w:lang w:val="it-IT"/>
        </w:rPr>
        <w:t xml:space="preserve"> 0.89; </w:t>
      </w:r>
      <m:oMath>
        <m:r>
          <w:rPr>
            <w:rFonts w:ascii="Cambria Math" w:hAnsi="Cambria Math"/>
          </w:rPr>
          <m:t>Δ</m:t>
        </m:r>
      </m:oMath>
      <w:r w:rsidRPr="00AD1429">
        <w:rPr>
          <w:lang w:val="it-IT"/>
        </w:rPr>
        <w:t xml:space="preserve">(Control-Hypo.) = 18.09, 95%CI [15.28, 20.89], </w:t>
      </w:r>
      <w:r w:rsidRPr="00AD1429">
        <w:rPr>
          <w:i/>
          <w:iCs/>
          <w:lang w:val="it-IT"/>
        </w:rPr>
        <w:t>p</w:t>
      </w:r>
      <w:r w:rsidRPr="00AD1429">
        <w:rPr>
          <w:lang w:val="it-IT"/>
        </w:rPr>
        <w:t xml:space="preserve"> </w:t>
      </w:r>
      <m:oMath>
        <m:r>
          <m:rPr>
            <m:sty m:val="p"/>
          </m:rPr>
          <w:rPr>
            <w:rFonts w:ascii="Cambria Math" w:hAnsi="Cambria Math"/>
            <w:lang w:val="it-IT"/>
          </w:rPr>
          <m:t>&lt;</m:t>
        </m:r>
        <m:r>
          <w:rPr>
            <w:rFonts w:ascii="Cambria Math" w:hAnsi="Cambria Math"/>
            <w:lang w:val="it-IT"/>
          </w:rPr>
          <m:t>.001</m:t>
        </m:r>
      </m:oMath>
      <w:r w:rsidRPr="00AD1429">
        <w:rPr>
          <w:lang w:val="it-IT"/>
        </w:rPr>
        <w:t xml:space="preserve">, </w:t>
      </w:r>
      <m:oMath>
        <m:r>
          <w:rPr>
            <w:rFonts w:ascii="Cambria Math" w:hAnsi="Cambria Math"/>
          </w:rPr>
          <m:t>Δ</m:t>
        </m:r>
      </m:oMath>
      <w:r w:rsidRPr="00AD1429">
        <w:rPr>
          <w:lang w:val="it-IT"/>
        </w:rPr>
        <w:t xml:space="preserve">(Hypo.-Aph.) </w:t>
      </w:r>
      <w:r>
        <w:t xml:space="preserve">= 2.79, 95%CI [-0.14, 5.72], </w:t>
      </w:r>
      <w:r>
        <w:rPr>
          <w:i/>
          <w:iCs/>
        </w:rPr>
        <w:t>p</w:t>
      </w:r>
      <w:r>
        <w:t xml:space="preserve"> </w:t>
      </w:r>
      <m:oMath>
        <m:r>
          <m:rPr>
            <m:sty m:val="p"/>
          </m:rPr>
          <w:rPr>
            <w:rFonts w:ascii="Cambria Math" w:hAnsi="Cambria Math"/>
          </w:rPr>
          <m:t>&lt;</m:t>
        </m:r>
        <m:r>
          <w:rPr>
            <w:rFonts w:ascii="Cambria Math" w:hAnsi="Cambria Math"/>
          </w:rPr>
          <m:t>.001</m:t>
        </m:r>
      </m:oMath>
      <w:r>
        <w:t xml:space="preserve">). The control </w:t>
      </w:r>
      <w:r>
        <w:lastRenderedPageBreak/>
        <w:t>group scored higher than the other two on the OSIQ-Object, however the hypophantasic group did not score higher than the aphantasic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23.04 </w:t>
      </w:r>
      <m:oMath>
        <m:r>
          <m:rPr>
            <m:sty m:val="p"/>
          </m:rPr>
          <w:rPr>
            <w:rFonts w:ascii="Cambria Math" w:hAnsi="Cambria Math"/>
          </w:rPr>
          <m:t>±</m:t>
        </m:r>
      </m:oMath>
      <w:r>
        <w:t xml:space="preserve"> 1.31;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25.04 </w:t>
      </w:r>
      <m:oMath>
        <m:r>
          <m:rPr>
            <m:sty m:val="p"/>
          </m:rPr>
          <w:rPr>
            <w:rFonts w:ascii="Cambria Math" w:hAnsi="Cambria Math"/>
          </w:rPr>
          <m:t>±</m:t>
        </m:r>
      </m:oMath>
      <w:r>
        <w:t xml:space="preserve"> 1.48;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46.09 </w:t>
      </w:r>
      <m:oMath>
        <m:r>
          <m:rPr>
            <m:sty m:val="p"/>
          </m:rPr>
          <w:rPr>
            <w:rFonts w:ascii="Cambria Math" w:hAnsi="Cambria Math"/>
          </w:rPr>
          <m:t>±</m:t>
        </m:r>
      </m:oMath>
      <w:r>
        <w:t xml:space="preserve"> 1.19; </w:t>
      </w:r>
      <m:oMath>
        <m:r>
          <w:rPr>
            <w:rFonts w:ascii="Cambria Math" w:hAnsi="Cambria Math"/>
          </w:rPr>
          <m:t>Δ</m:t>
        </m:r>
      </m:oMath>
      <w:r>
        <w:t xml:space="preserve">(Hypo.-Aph.) = 2, 95%CI [-1.91, 5.91], </w:t>
      </w:r>
      <w:r>
        <w:rPr>
          <w:i/>
          <w:iCs/>
        </w:rPr>
        <w:t>p</w:t>
      </w:r>
      <w:r>
        <w:t xml:space="preserve"> = 0.31). On the OSIQ-Spatial, the control and hypophantasic group scored higher than the aphantasic group, but the control group did not score higher than the hypophantasic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39.46 </w:t>
      </w:r>
      <m:oMath>
        <m:r>
          <m:rPr>
            <m:sty m:val="p"/>
          </m:rPr>
          <w:rPr>
            <w:rFonts w:ascii="Cambria Math" w:hAnsi="Cambria Math"/>
          </w:rPr>
          <m:t>±</m:t>
        </m:r>
      </m:oMath>
      <w:r>
        <w:t xml:space="preserve"> 1.15;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42.98 </w:t>
      </w:r>
      <m:oMath>
        <m:r>
          <m:rPr>
            <m:sty m:val="p"/>
          </m:rPr>
          <w:rPr>
            <w:rFonts w:ascii="Cambria Math" w:hAnsi="Cambria Math"/>
          </w:rPr>
          <m:t>±</m:t>
        </m:r>
      </m:oMath>
      <w:r>
        <w:t xml:space="preserve"> 1.3;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45.47 </w:t>
      </w:r>
      <m:oMath>
        <m:r>
          <m:rPr>
            <m:sty m:val="p"/>
          </m:rPr>
          <w:rPr>
            <w:rFonts w:ascii="Cambria Math" w:hAnsi="Cambria Math"/>
          </w:rPr>
          <m:t>±</m:t>
        </m:r>
      </m:oMath>
      <w:r>
        <w:t xml:space="preserve"> 1.05; -</w:t>
      </w:r>
      <m:oMath>
        <m:r>
          <w:rPr>
            <w:rFonts w:ascii="Cambria Math" w:hAnsi="Cambria Math"/>
          </w:rPr>
          <m:t>Δ</m:t>
        </m:r>
      </m:oMath>
      <w:r>
        <w:t xml:space="preserve">(Control-Aph.) </w:t>
      </w:r>
      <w:r w:rsidRPr="00AD1429">
        <w:rPr>
          <w:lang w:val="it-IT"/>
        </w:rPr>
        <w:t xml:space="preserve">= 6.01, 95%CI [2.93, 9.09], </w:t>
      </w:r>
      <w:r w:rsidRPr="00AD1429">
        <w:rPr>
          <w:i/>
          <w:iCs/>
          <w:lang w:val="it-IT"/>
        </w:rPr>
        <w:t>p</w:t>
      </w:r>
      <w:r w:rsidRPr="00AD1429">
        <w:rPr>
          <w:lang w:val="it-IT"/>
        </w:rPr>
        <w:t xml:space="preserve"> </w:t>
      </w:r>
      <m:oMath>
        <m:r>
          <m:rPr>
            <m:sty m:val="p"/>
          </m:rPr>
          <w:rPr>
            <w:rFonts w:ascii="Cambria Math" w:hAnsi="Cambria Math"/>
            <w:lang w:val="it-IT"/>
          </w:rPr>
          <m:t>&lt;</m:t>
        </m:r>
        <m:r>
          <w:rPr>
            <w:rFonts w:ascii="Cambria Math" w:hAnsi="Cambria Math"/>
            <w:lang w:val="it-IT"/>
          </w:rPr>
          <m:t>.001</m:t>
        </m:r>
      </m:oMath>
      <w:r w:rsidRPr="00AD1429">
        <w:rPr>
          <w:lang w:val="it-IT"/>
        </w:rPr>
        <w:t xml:space="preserve">; </w:t>
      </w:r>
      <m:oMath>
        <m:r>
          <w:rPr>
            <w:rFonts w:ascii="Cambria Math" w:hAnsi="Cambria Math"/>
          </w:rPr>
          <m:t>Δ</m:t>
        </m:r>
      </m:oMath>
      <w:r w:rsidRPr="00AD1429">
        <w:rPr>
          <w:lang w:val="it-IT"/>
        </w:rPr>
        <w:t xml:space="preserve">(Control.-Hypo.) = 2.49, 95%CI [-0.80, 5.77], </w:t>
      </w:r>
      <w:r w:rsidRPr="00AD1429">
        <w:rPr>
          <w:i/>
          <w:iCs/>
          <w:lang w:val="it-IT"/>
        </w:rPr>
        <w:t>p</w:t>
      </w:r>
      <w:r w:rsidRPr="00AD1429">
        <w:rPr>
          <w:lang w:val="it-IT"/>
        </w:rPr>
        <w:t xml:space="preserve"> = 0.14; </w:t>
      </w:r>
      <m:oMath>
        <m:r>
          <w:rPr>
            <w:rFonts w:ascii="Cambria Math" w:hAnsi="Cambria Math"/>
          </w:rPr>
          <m:t>Δ</m:t>
        </m:r>
      </m:oMath>
      <w:r w:rsidRPr="00AD1429">
        <w:rPr>
          <w:lang w:val="it-IT"/>
        </w:rPr>
        <w:t xml:space="preserve">(Hypo.-Aph.) </w:t>
      </w:r>
      <w:r>
        <w:t xml:space="preserve">= 3.52, 95%CI [0.09, 6.95], </w:t>
      </w:r>
      <w:r>
        <w:rPr>
          <w:i/>
          <w:iCs/>
        </w:rPr>
        <w:t>p</w:t>
      </w:r>
      <w:r>
        <w:t xml:space="preserve"> = 0.04).</w:t>
      </w:r>
    </w:p>
    <w:p w14:paraId="62214362" w14:textId="77777777" w:rsidR="00D273CC" w:rsidRDefault="00000000">
      <w:pPr>
        <w:pStyle w:val="Titre3"/>
      </w:pPr>
      <w:bookmarkStart w:id="38" w:name="implicit-task-1"/>
      <w:bookmarkEnd w:id="36"/>
      <w:r>
        <w:t>3.4.2 Implicit task</w:t>
      </w:r>
    </w:p>
    <w:p w14:paraId="31230049" w14:textId="77777777" w:rsidR="00D273CC" w:rsidRDefault="00000000">
      <w:pPr>
        <w:pStyle w:val="FirstParagraph"/>
      </w:pPr>
      <w:r>
        <w:t xml:space="preserve">The new model for the implicit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8.7, </w:t>
      </w:r>
      <w:r>
        <w:rPr>
          <w:i/>
          <w:iCs/>
        </w:rPr>
        <w:t>p</w:t>
      </w:r>
      <w:r>
        <w:t xml:space="preserve"> = 0.003) and a significant interaction between Group and Congruence (</w:t>
      </w:r>
      <w:hyperlink w:anchor="fig-model-implicit-finer">
        <w:r>
          <w:rPr>
            <w:rStyle w:val="Lienhypertexte"/>
          </w:rPr>
          <w:t>Figure 8</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13.23, </w:t>
      </w:r>
      <w:r>
        <w:rPr>
          <w:i/>
          <w:iCs/>
        </w:rPr>
        <w:t>p</w:t>
      </w:r>
      <w:r>
        <w:t xml:space="preserve"> = .001). Once again, the contrast analyses revealed that the effect of Congruence was driven by controls responding faster in the congruent condition (</w:t>
      </w:r>
      <m:oMath>
        <m:r>
          <w:rPr>
            <w:rFonts w:ascii="Cambria Math" w:hAnsi="Cambria Math"/>
          </w:rPr>
          <m:t>Δ</m:t>
        </m:r>
      </m:oMath>
      <w:r>
        <w:t xml:space="preserve">(controls RT congruent - incongruent) = -30ms, SE = 7ms, 95% CI [-40, -10], </w:t>
      </w:r>
      <w:r>
        <w:rPr>
          <w:i/>
          <w:iCs/>
        </w:rPr>
        <w:t>p</w:t>
      </w:r>
      <w:r>
        <w:t xml:space="preserve"> </w:t>
      </w:r>
      <m:oMath>
        <m:r>
          <m:rPr>
            <m:sty m:val="p"/>
          </m:rPr>
          <w:rPr>
            <w:rFonts w:ascii="Cambria Math" w:hAnsi="Cambria Math"/>
          </w:rPr>
          <m:t>&lt;</m:t>
        </m:r>
        <m:r>
          <w:rPr>
            <w:rFonts w:ascii="Cambria Math" w:hAnsi="Cambria Math"/>
          </w:rPr>
          <m:t>.001</m:t>
        </m:r>
      </m:oMath>
      <w:r>
        <w:t>,</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.004, extreme evidence in favour of a congruence effect), as opposed to aphantasics (</w:t>
      </w:r>
      <m:oMath>
        <m:r>
          <w:rPr>
            <w:rFonts w:ascii="Cambria Math" w:hAnsi="Cambria Math"/>
          </w:rPr>
          <m:t>Δ</m:t>
        </m:r>
      </m:oMath>
      <w:r>
        <w:t xml:space="preserve">(aphantasics RT congruent - incongruent) = -5ms, SE = 7ms, 95% CI [ -20, 10],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12.59, strong evidence against a congruence effect). Interestingly, the hypophantasic group fitted in between, with a trend effect of Congruence (</w:t>
      </w:r>
      <m:oMath>
        <m:r>
          <w:rPr>
            <w:rFonts w:ascii="Cambria Math" w:hAnsi="Cambria Math"/>
          </w:rPr>
          <m:t>Δ</m:t>
        </m:r>
      </m:oMath>
      <w:r>
        <w:t xml:space="preserve">(RT congruent - incongruent) = -10ms, SE = 8ms, 95% CI [ -30, 0], </w:t>
      </w:r>
      <w:r>
        <w:rPr>
          <w:i/>
          <w:iCs/>
        </w:rPr>
        <w:t>p</w:t>
      </w:r>
      <w:r>
        <w:t xml:space="preserve"> = 0.07) </w:t>
      </w:r>
      <w:r>
        <w:rPr>
          <w:shd w:val="clear" w:color="auto" w:fill="FFFF00"/>
        </w:rPr>
        <w:t>and inconclusive evidence for or against a congruence effect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2.41). There were no main effects of Group (</w:t>
      </w:r>
      <w:r>
        <w:rPr>
          <w:i/>
          <w:iCs/>
        </w:rPr>
        <w:t>p</w:t>
      </w:r>
      <w:r>
        <w:t xml:space="preserve"> = 0.49), Colour (</w:t>
      </w:r>
      <w:r>
        <w:rPr>
          <w:i/>
          <w:iCs/>
        </w:rPr>
        <w:t>p</w:t>
      </w:r>
      <w:r>
        <w:t xml:space="preserve"> = .46), no interaction between Group and Colour (</w:t>
      </w:r>
      <w:r>
        <w:rPr>
          <w:i/>
          <w:iCs/>
        </w:rPr>
        <w:t>p</w:t>
      </w:r>
      <w:r>
        <w:t xml:space="preserve"> = .54) or Congruence and Colour (</w:t>
      </w:r>
      <w:r>
        <w:rPr>
          <w:i/>
          <w:iCs/>
        </w:rPr>
        <w:t>p</w:t>
      </w:r>
      <w:r>
        <w:t xml:space="preserve"> = .17), and no triple interaction (</w:t>
      </w:r>
      <w:r>
        <w:rPr>
          <w:i/>
          <w:iCs/>
        </w:rPr>
        <w:t>p</w:t>
      </w:r>
      <w:r>
        <w:t xml:space="preserve"> = .42).</w:t>
      </w:r>
    </w:p>
    <w:tbl>
      <w:tblPr>
        <w:tblStyle w:val="Table"/>
        <w:tblW w:w="5000" w:type="pct"/>
        <w:tblLayout w:type="fixed"/>
        <w:tblLook w:val="0000" w:firstRow="0" w:lastRow="0" w:firstColumn="0" w:lastColumn="0" w:noHBand="0" w:noVBand="0"/>
      </w:tblPr>
      <w:tblGrid>
        <w:gridCol w:w="9054"/>
      </w:tblGrid>
      <w:tr w:rsidR="00D273CC" w14:paraId="4E080BFB" w14:textId="77777777">
        <w:tc>
          <w:tcPr>
            <w:tcW w:w="7920" w:type="dxa"/>
          </w:tcPr>
          <w:p w14:paraId="26CEC9C3" w14:textId="77777777" w:rsidR="00D273CC" w:rsidRDefault="00000000">
            <w:pPr>
              <w:pStyle w:val="Compact"/>
            </w:pPr>
            <w:bookmarkStart w:id="39" w:name="fig-model-implicit-finer"/>
            <w:r>
              <w:rPr>
                <w:noProof/>
              </w:rPr>
              <w:lastRenderedPageBreak/>
              <w:drawing>
                <wp:inline distT="0" distB="0" distL="0" distR="0" wp14:anchorId="1ECE3763" wp14:editId="682F8C02">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7"/>
                          <a:stretch>
                            <a:fillRect/>
                          </a:stretch>
                        </pic:blipFill>
                        <pic:spPr bwMode="auto">
                          <a:xfrm>
                            <a:off x="0" y="0"/>
                            <a:ext cx="5600700" cy="2177531"/>
                          </a:xfrm>
                          <a:prstGeom prst="rect">
                            <a:avLst/>
                          </a:prstGeom>
                          <a:noFill/>
                          <a:ln w="9525">
                            <a:noFill/>
                            <a:headEnd/>
                            <a:tailEnd/>
                          </a:ln>
                        </pic:spPr>
                      </pic:pic>
                    </a:graphicData>
                  </a:graphic>
                </wp:inline>
              </w:drawing>
            </w:r>
          </w:p>
          <w:p w14:paraId="661EFE20" w14:textId="77777777" w:rsidR="00D273CC" w:rsidRDefault="00000000">
            <w:pPr>
              <w:pStyle w:val="ImageCaption"/>
              <w:spacing w:before="200"/>
              <w:jc w:val="left"/>
            </w:pPr>
            <w:r>
              <w:t>Figure 8: Visualizations of the interactions between Group and Congruence in the implicit task with redefined groups. The coloured dots the indicate the marginal means of the groups in each condition whereas the black bars represent the standard error of these estimates.</w:t>
            </w:r>
          </w:p>
        </w:tc>
        <w:bookmarkEnd w:id="39"/>
      </w:tr>
    </w:tbl>
    <w:p w14:paraId="25C08DC7" w14:textId="77777777" w:rsidR="00D273CC" w:rsidRDefault="00000000">
      <w:pPr>
        <w:pStyle w:val="Titre3"/>
      </w:pPr>
      <w:bookmarkStart w:id="40" w:name="explicit-task-1"/>
      <w:bookmarkEnd w:id="38"/>
      <w:r>
        <w:t>3.4.3 Explicit task</w:t>
      </w:r>
    </w:p>
    <w:p w14:paraId="670BCCDA" w14:textId="77777777" w:rsidR="00D273CC" w:rsidRDefault="00000000">
      <w:pPr>
        <w:pStyle w:val="FirstParagraph"/>
      </w:pPr>
      <w:r>
        <w:t xml:space="preserve">The new model for the explicit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11.43,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44.05, </w:t>
      </w:r>
      <w:r>
        <w:rPr>
          <w:i/>
          <w:iCs/>
        </w:rPr>
        <w:t>p</w:t>
      </w:r>
      <w:r>
        <w:t xml:space="preserve"> </w:t>
      </w:r>
      <m:oMath>
        <m:r>
          <m:rPr>
            <m:sty m:val="p"/>
          </m:rPr>
          <w:rPr>
            <w:rFonts w:ascii="Cambria Math" w:hAnsi="Cambria Math"/>
          </w:rPr>
          <m:t>&lt;</m:t>
        </m:r>
      </m:oMath>
      <w:r>
        <w:t xml:space="preserve"> .001), along with a significant interaction between Group and Congruence (</w:t>
      </w:r>
      <w:hyperlink w:anchor="fig-model-explicit-finer">
        <w:r>
          <w:rPr>
            <w:rStyle w:val="Lienhypertexte"/>
          </w:rPr>
          <w:t>Figure 9</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8.18, </w:t>
      </w:r>
      <w:r>
        <w:rPr>
          <w:i/>
          <w:iCs/>
        </w:rPr>
        <w:t>p</w:t>
      </w:r>
      <w:r>
        <w:t xml:space="preserve"> = 0.017). The contrast analyses again showed that the effect of Congruence was driven by controls responding faster in the congruent condition (</w:t>
      </w:r>
      <m:oMath>
        <m:r>
          <w:rPr>
            <w:rFonts w:ascii="Cambria Math" w:hAnsi="Cambria Math"/>
          </w:rPr>
          <m:t>Δ</m:t>
        </m:r>
      </m:oMath>
      <w:r>
        <w:t xml:space="preserve">(controls RT congruent - incongruent) = -30ms, SE = 7ms, 95% CI [-40, -20],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w:t>
      </w:r>
      <m:oMath>
        <m:r>
          <m:rPr>
            <m:sty m:val="p"/>
          </m:rPr>
          <w:rPr>
            <w:rFonts w:ascii="Cambria Math" w:hAnsi="Cambria Math"/>
          </w:rPr>
          <m:t>&lt;</m:t>
        </m:r>
      </m:oMath>
      <w:r>
        <w:t xml:space="preserve"> .001, extreme evidence in favour of a congruence effect), while aphantasics did not (</w:t>
      </w:r>
      <m:oMath>
        <m:r>
          <w:rPr>
            <w:rFonts w:ascii="Cambria Math" w:hAnsi="Cambria Math"/>
          </w:rPr>
          <m:t>Δ</m:t>
        </m:r>
      </m:oMath>
      <w:r>
        <w:t xml:space="preserve">(aphantasics RT congruent - incongruent) = 5ms, SE = 7ms, 95% CI [ -10, 20],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11.78, strong evidence against a congruence effect). This time, however, hypophantasics were aligned with the aphantasic group and showed no congruence effect (</w:t>
      </w:r>
      <m:oMath>
        <m:r>
          <w:rPr>
            <w:rFonts w:ascii="Cambria Math" w:hAnsi="Cambria Math"/>
          </w:rPr>
          <m:t>Δ</m:t>
        </m:r>
      </m:oMath>
      <w:r>
        <w:t xml:space="preserve">(RT congruent - incongruent) = 4ms, SE = 8ms, 95% CI [ -20, 10], </w:t>
      </w:r>
      <w:r>
        <w:rPr>
          <w:i/>
          <w:iCs/>
        </w:rPr>
        <w:t>p</w:t>
      </w:r>
      <w:r>
        <w:t xml:space="preserve"> = 0.65,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9.81, substantial evidence against a congruence effect). Contrast analysis on the main effect of Colour </w:t>
      </w:r>
      <w:r>
        <w:lastRenderedPageBreak/>
        <w:t>showed that participants responded faster overall in the coloured condition (</w:t>
      </w:r>
      <m:oMath>
        <m:r>
          <w:rPr>
            <w:rFonts w:ascii="Cambria Math" w:hAnsi="Cambria Math"/>
          </w:rPr>
          <m:t>Δ</m:t>
        </m:r>
      </m:oMath>
      <w:r>
        <w:t xml:space="preserve">(RT coloured - uncoloured) = -30ms, SE = 5ms,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There were no main effects of Group (</w:t>
      </w:r>
      <w:r>
        <w:rPr>
          <w:i/>
          <w:iCs/>
        </w:rPr>
        <w:t>p</w:t>
      </w:r>
      <w:r>
        <w:t xml:space="preserve"> = 0.98), no interaction between Group and Colour (</w:t>
      </w:r>
      <w:r>
        <w:rPr>
          <w:i/>
          <w:iCs/>
        </w:rPr>
        <w:t>p</w:t>
      </w:r>
      <w:r>
        <w:t xml:space="preserve"> = 0.79) or Congruence and Colour (</w:t>
      </w:r>
      <w:r>
        <w:rPr>
          <w:i/>
          <w:iCs/>
        </w:rPr>
        <w:t>p</w:t>
      </w:r>
      <w:r>
        <w:t xml:space="preserve"> = 0.62), and no triple interaction (</w:t>
      </w:r>
      <w:r>
        <w:rPr>
          <w:i/>
          <w:iCs/>
        </w:rPr>
        <w:t>p</w:t>
      </w:r>
      <w:r>
        <w:t xml:space="preserve"> = 0.32).</w:t>
      </w:r>
    </w:p>
    <w:tbl>
      <w:tblPr>
        <w:tblStyle w:val="Table"/>
        <w:tblW w:w="5000" w:type="pct"/>
        <w:tblLayout w:type="fixed"/>
        <w:tblLook w:val="0000" w:firstRow="0" w:lastRow="0" w:firstColumn="0" w:lastColumn="0" w:noHBand="0" w:noVBand="0"/>
      </w:tblPr>
      <w:tblGrid>
        <w:gridCol w:w="9054"/>
      </w:tblGrid>
      <w:tr w:rsidR="00D273CC" w14:paraId="6ADBC391" w14:textId="77777777">
        <w:tc>
          <w:tcPr>
            <w:tcW w:w="7920" w:type="dxa"/>
          </w:tcPr>
          <w:p w14:paraId="4ABEC4ED" w14:textId="77777777" w:rsidR="00D273CC" w:rsidRDefault="00000000">
            <w:pPr>
              <w:pStyle w:val="Compact"/>
            </w:pPr>
            <w:bookmarkStart w:id="41" w:name="fig-model-explicit-finer"/>
            <w:r>
              <w:rPr>
                <w:noProof/>
              </w:rPr>
              <w:drawing>
                <wp:inline distT="0" distB="0" distL="0" distR="0" wp14:anchorId="031B07AA" wp14:editId="3F01BD8E">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139589FF" w14:textId="77777777" w:rsidR="00D273CC" w:rsidRDefault="00000000">
            <w:pPr>
              <w:pStyle w:val="ImageCaption"/>
              <w:spacing w:before="200"/>
              <w:jc w:val="left"/>
            </w:pPr>
            <w:r>
              <w:t>Figure 9: Visualizations of the interactions between Group and Congruence in the explicit task with redefined groups. The coloured dots the indicate the marginal means of the groups in each condition whereas the black bars represent the standard error of these estimates.</w:t>
            </w:r>
          </w:p>
        </w:tc>
        <w:bookmarkEnd w:id="41"/>
      </w:tr>
    </w:tbl>
    <w:p w14:paraId="0BEA79E8" w14:textId="77777777" w:rsidR="00D273CC"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9054"/>
      </w:tblGrid>
      <w:tr w:rsidR="00D273CC" w14:paraId="5AE3BA16" w14:textId="77777777">
        <w:tc>
          <w:tcPr>
            <w:tcW w:w="7920" w:type="dxa"/>
          </w:tcPr>
          <w:tbl>
            <w:tblPr>
              <w:tblStyle w:val="Table"/>
              <w:tblW w:w="4886" w:type="pct"/>
              <w:tblLayout w:type="fixed"/>
              <w:tblLook w:val="0020" w:firstRow="1" w:lastRow="0" w:firstColumn="0" w:lastColumn="0" w:noHBand="0" w:noVBand="0"/>
            </w:tblPr>
            <w:tblGrid>
              <w:gridCol w:w="2277"/>
              <w:gridCol w:w="1339"/>
              <w:gridCol w:w="1941"/>
              <w:gridCol w:w="1138"/>
              <w:gridCol w:w="1941"/>
            </w:tblGrid>
            <w:tr w:rsidR="00D273CC" w14:paraId="709D28B2" w14:textId="77777777" w:rsidTr="00D273CC">
              <w:trPr>
                <w:cnfStyle w:val="100000000000" w:firstRow="1" w:lastRow="0" w:firstColumn="0" w:lastColumn="0" w:oddVBand="0" w:evenVBand="0" w:oddHBand="0" w:evenHBand="0" w:firstRowFirstColumn="0" w:firstRowLastColumn="0" w:lastRowFirstColumn="0" w:lastRowLastColumn="0"/>
                <w:tblHeader/>
              </w:trPr>
              <w:tc>
                <w:tcPr>
                  <w:tcW w:w="2040" w:type="dxa"/>
                </w:tcPr>
                <w:p w14:paraId="3D535FDF" w14:textId="77777777" w:rsidR="00D273CC" w:rsidRDefault="00D273CC">
                  <w:pPr>
                    <w:pStyle w:val="Compact"/>
                  </w:pPr>
                  <w:bookmarkStart w:id="43" w:name="tbl-correlations"/>
                </w:p>
              </w:tc>
              <w:tc>
                <w:tcPr>
                  <w:tcW w:w="1200" w:type="dxa"/>
                </w:tcPr>
                <w:p w14:paraId="4291B665" w14:textId="77777777" w:rsidR="00D273CC" w:rsidRDefault="00000000">
                  <w:pPr>
                    <w:pStyle w:val="Compact"/>
                  </w:pPr>
                  <w:r>
                    <w:t>VVIQ</w:t>
                  </w:r>
                </w:p>
              </w:tc>
              <w:tc>
                <w:tcPr>
                  <w:tcW w:w="1740" w:type="dxa"/>
                </w:tcPr>
                <w:p w14:paraId="6B0F05FF" w14:textId="77777777" w:rsidR="00D273CC" w:rsidRDefault="00000000">
                  <w:pPr>
                    <w:pStyle w:val="Compact"/>
                  </w:pPr>
                  <w:r>
                    <w:t>OSIQ-Object</w:t>
                  </w:r>
                </w:p>
              </w:tc>
              <w:tc>
                <w:tcPr>
                  <w:tcW w:w="1020" w:type="dxa"/>
                </w:tcPr>
                <w:p w14:paraId="3A660884" w14:textId="77777777" w:rsidR="00D273CC" w:rsidRDefault="00000000">
                  <w:pPr>
                    <w:pStyle w:val="Compact"/>
                  </w:pPr>
                  <w:r>
                    <w:t>OSIQ-Spatial</w:t>
                  </w:r>
                </w:p>
              </w:tc>
              <w:tc>
                <w:tcPr>
                  <w:tcW w:w="1740" w:type="dxa"/>
                </w:tcPr>
                <w:p w14:paraId="7761739C" w14:textId="77777777" w:rsidR="00D273CC" w:rsidRDefault="00000000">
                  <w:pPr>
                    <w:pStyle w:val="Compact"/>
                  </w:pPr>
                  <w:r>
                    <w:t>SUIS</w:t>
                  </w:r>
                </w:p>
              </w:tc>
            </w:tr>
            <w:tr w:rsidR="00D273CC" w14:paraId="72C86B75" w14:textId="77777777">
              <w:tc>
                <w:tcPr>
                  <w:tcW w:w="2040" w:type="dxa"/>
                </w:tcPr>
                <w:p w14:paraId="582F2CC6" w14:textId="77777777" w:rsidR="00D273CC" w:rsidRDefault="00000000">
                  <w:pPr>
                    <w:pStyle w:val="Compact"/>
                  </w:pPr>
                  <w:r>
                    <w:t>Implicit task congruence effect</w:t>
                  </w:r>
                </w:p>
              </w:tc>
              <w:tc>
                <w:tcPr>
                  <w:tcW w:w="1200" w:type="dxa"/>
                </w:tcPr>
                <w:p w14:paraId="24D5885D" w14:textId="77777777" w:rsidR="00D273CC" w:rsidRDefault="00000000">
                  <w:pPr>
                    <w:jc w:val="center"/>
                  </w:pPr>
                  <m:oMath>
                    <m:r>
                      <w:rPr>
                        <w:rFonts w:ascii="Cambria Math" w:hAnsi="Cambria Math"/>
                      </w:rPr>
                      <m:t>ρ</m:t>
                    </m:r>
                  </m:oMath>
                  <w:r>
                    <w:t xml:space="preserve"> = </w:t>
                  </w:r>
                  <w:r>
                    <w:rPr>
                      <w:b/>
                      <w:bCs/>
                    </w:rPr>
                    <w:t>0.21</w:t>
                  </w:r>
                </w:p>
                <w:p w14:paraId="2EDD28DC" w14:textId="77777777" w:rsidR="00D273CC"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757547ED" w14:textId="77777777" w:rsidR="00D273CC" w:rsidRDefault="00000000">
                  <w:pPr>
                    <w:jc w:val="center"/>
                  </w:pPr>
                  <m:oMath>
                    <m:r>
                      <w:rPr>
                        <w:rFonts w:ascii="Cambria Math" w:hAnsi="Cambria Math"/>
                      </w:rPr>
                      <m:t>ρ</m:t>
                    </m:r>
                  </m:oMath>
                  <w:r>
                    <w:t xml:space="preserve"> </w:t>
                  </w:r>
                  <w:r>
                    <w:rPr>
                      <w:b/>
                      <w:bCs/>
                    </w:rPr>
                    <w:t>= 0.26</w:t>
                  </w:r>
                </w:p>
                <w:p w14:paraId="2F553E4B" w14:textId="77777777" w:rsidR="00D273CC"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74438C00" w14:textId="77777777" w:rsidR="00D273CC" w:rsidRDefault="00000000">
                  <w:pPr>
                    <w:jc w:val="center"/>
                  </w:pPr>
                  <w:r>
                    <w:rPr>
                      <w:i/>
                      <w:iCs/>
                    </w:rPr>
                    <w:t>r</w:t>
                  </w:r>
                  <w:r>
                    <w:t xml:space="preserve"> = 0.05</w:t>
                  </w:r>
                </w:p>
                <w:p w14:paraId="5E5EC426" w14:textId="77777777" w:rsidR="00D273CC" w:rsidRDefault="00000000">
                  <w:pPr>
                    <w:jc w:val="center"/>
                  </w:pPr>
                  <w:r>
                    <w:rPr>
                      <w:i/>
                      <w:iCs/>
                    </w:rPr>
                    <w:t>p</w:t>
                  </w:r>
                  <w:r>
                    <w:t xml:space="preserve"> = .57</w:t>
                  </w:r>
                </w:p>
              </w:tc>
              <w:tc>
                <w:tcPr>
                  <w:tcW w:w="1740" w:type="dxa"/>
                </w:tcPr>
                <w:p w14:paraId="7497D239" w14:textId="77777777" w:rsidR="00D273CC" w:rsidRDefault="00000000">
                  <w:pPr>
                    <w:jc w:val="center"/>
                  </w:pPr>
                  <w:r>
                    <w:rPr>
                      <w:b/>
                      <w:bCs/>
                      <w:i/>
                      <w:iCs/>
                    </w:rPr>
                    <w:t>r</w:t>
                  </w:r>
                  <w:r>
                    <w:t xml:space="preserve"> </w:t>
                  </w:r>
                  <w:r>
                    <w:rPr>
                      <w:b/>
                      <w:bCs/>
                    </w:rPr>
                    <w:t>= .27</w:t>
                  </w:r>
                </w:p>
                <w:p w14:paraId="7F68CE89" w14:textId="77777777" w:rsidR="00D273CC"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D273CC" w14:paraId="019C7AFF" w14:textId="77777777">
              <w:tc>
                <w:tcPr>
                  <w:tcW w:w="2040" w:type="dxa"/>
                </w:tcPr>
                <w:p w14:paraId="0DCF53EE" w14:textId="77777777" w:rsidR="00D273CC" w:rsidRDefault="00000000">
                  <w:pPr>
                    <w:pStyle w:val="Compact"/>
                  </w:pPr>
                  <w:r>
                    <w:t>Explicit task congruence effect</w:t>
                  </w:r>
                </w:p>
              </w:tc>
              <w:tc>
                <w:tcPr>
                  <w:tcW w:w="1200" w:type="dxa"/>
                </w:tcPr>
                <w:p w14:paraId="65D37EA4" w14:textId="77777777" w:rsidR="00D273CC" w:rsidRDefault="00000000">
                  <w:pPr>
                    <w:jc w:val="center"/>
                  </w:pPr>
                  <m:oMath>
                    <m:r>
                      <w:rPr>
                        <w:rFonts w:ascii="Cambria Math" w:hAnsi="Cambria Math"/>
                      </w:rPr>
                      <m:t>ρ</m:t>
                    </m:r>
                  </m:oMath>
                  <w:r>
                    <w:t xml:space="preserve"> = 0.08</w:t>
                  </w:r>
                </w:p>
                <w:p w14:paraId="7DAE47B8" w14:textId="77777777" w:rsidR="00D273CC" w:rsidRDefault="00000000">
                  <w:pPr>
                    <w:jc w:val="center"/>
                  </w:pPr>
                  <w:r>
                    <w:rPr>
                      <w:i/>
                      <w:iCs/>
                    </w:rPr>
                    <w:t>p</w:t>
                  </w:r>
                  <w:r>
                    <w:t xml:space="preserve"> = 0.43</w:t>
                  </w:r>
                </w:p>
              </w:tc>
              <w:tc>
                <w:tcPr>
                  <w:tcW w:w="1740" w:type="dxa"/>
                </w:tcPr>
                <w:p w14:paraId="22025E7F" w14:textId="77777777" w:rsidR="00D273CC" w:rsidRDefault="00000000">
                  <w:pPr>
                    <w:jc w:val="center"/>
                  </w:pPr>
                  <m:oMath>
                    <m:r>
                      <w:rPr>
                        <w:rFonts w:ascii="Cambria Math" w:hAnsi="Cambria Math"/>
                      </w:rPr>
                      <m:t>ρ</m:t>
                    </m:r>
                  </m:oMath>
                  <w:r>
                    <w:t xml:space="preserve"> = 0.12</w:t>
                  </w:r>
                </w:p>
                <w:p w14:paraId="4FF00354" w14:textId="77777777" w:rsidR="00D273CC" w:rsidRDefault="00000000">
                  <w:pPr>
                    <w:jc w:val="center"/>
                  </w:pPr>
                  <w:r>
                    <w:rPr>
                      <w:i/>
                      <w:iCs/>
                    </w:rPr>
                    <w:t>p</w:t>
                  </w:r>
                  <w:r>
                    <w:t xml:space="preserve"> = 0.19</w:t>
                  </w:r>
                </w:p>
              </w:tc>
              <w:tc>
                <w:tcPr>
                  <w:tcW w:w="1020" w:type="dxa"/>
                </w:tcPr>
                <w:p w14:paraId="45BC9B83" w14:textId="77777777" w:rsidR="00D273CC" w:rsidRDefault="00000000">
                  <w:pPr>
                    <w:jc w:val="center"/>
                  </w:pPr>
                  <m:oMath>
                    <m:r>
                      <w:rPr>
                        <w:rFonts w:ascii="Cambria Math" w:hAnsi="Cambria Math"/>
                      </w:rPr>
                      <m:t>ρ</m:t>
                    </m:r>
                  </m:oMath>
                  <w:r>
                    <w:t xml:space="preserve"> = -0.02</w:t>
                  </w:r>
                </w:p>
                <w:p w14:paraId="6FA6BCF0" w14:textId="77777777" w:rsidR="00D273CC" w:rsidRDefault="00000000">
                  <w:pPr>
                    <w:jc w:val="center"/>
                  </w:pPr>
                  <w:r>
                    <w:rPr>
                      <w:i/>
                      <w:iCs/>
                    </w:rPr>
                    <w:t>p</w:t>
                  </w:r>
                  <w:r>
                    <w:t xml:space="preserve"> = 0.83</w:t>
                  </w:r>
                </w:p>
              </w:tc>
              <w:tc>
                <w:tcPr>
                  <w:tcW w:w="1740" w:type="dxa"/>
                </w:tcPr>
                <w:p w14:paraId="6AAB46E9" w14:textId="77777777" w:rsidR="00D273CC" w:rsidRDefault="00000000">
                  <w:pPr>
                    <w:jc w:val="center"/>
                  </w:pPr>
                  <m:oMath>
                    <m:r>
                      <w:rPr>
                        <w:rFonts w:ascii="Cambria Math" w:hAnsi="Cambria Math"/>
                      </w:rPr>
                      <m:t>ρ</m:t>
                    </m:r>
                  </m:oMath>
                  <w:r>
                    <w:t xml:space="preserve"> = 0.16</w:t>
                  </w:r>
                </w:p>
                <w:p w14:paraId="47CC3F12" w14:textId="77777777" w:rsidR="00D273CC" w:rsidRDefault="00000000">
                  <w:pPr>
                    <w:jc w:val="center"/>
                  </w:pPr>
                  <w:r>
                    <w:rPr>
                      <w:i/>
                      <w:iCs/>
                    </w:rPr>
                    <w:t>p</w:t>
                  </w:r>
                  <w:r>
                    <w:t xml:space="preserve"> = 0.08</w:t>
                  </w:r>
                </w:p>
              </w:tc>
            </w:tr>
          </w:tbl>
          <w:p w14:paraId="6B2739DD" w14:textId="77777777" w:rsidR="00D273CC"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w:t>
            </w:r>
            <w:r>
              <w:lastRenderedPageBreak/>
              <w:t>questionnaire score and the congruence effect in both tasks.</w:t>
            </w:r>
          </w:p>
        </w:tc>
        <w:bookmarkEnd w:id="43"/>
      </w:tr>
    </w:tbl>
    <w:p w14:paraId="6D66CB76" w14:textId="77777777" w:rsidR="00D273CC" w:rsidRDefault="00000000">
      <w:pPr>
        <w:pStyle w:val="Corpsdetexte"/>
      </w:pPr>
      <w:r>
        <w:t xml:space="preserve">Finally, Spearman correlations were computed to assess the monotonic relationship between the questionnaire scores and the </w:t>
      </w:r>
      <w:r>
        <w:rPr>
          <w:i/>
          <w:iCs/>
        </w:rPr>
        <w:t>congruence effects</w:t>
      </w:r>
      <w:r>
        <w:t xml:space="preserve"> in both tasks. In the explicit task, the congruence effect was not correlated with the VVIQ (</w:t>
      </w:r>
      <w:r>
        <w:rPr>
          <w:i/>
          <w:iCs/>
        </w:rPr>
        <w:t>p</w:t>
      </w:r>
      <w:r>
        <w:t xml:space="preserve"> = 0.43), the OSIQ-Object (</w:t>
      </w:r>
      <w:r>
        <w:rPr>
          <w:i/>
          <w:iCs/>
        </w:rPr>
        <w:t>p</w:t>
      </w:r>
      <w:r>
        <w:t xml:space="preserve"> = 0.19), the OSIQ-Spatial (</w:t>
      </w:r>
      <w:r>
        <w:rPr>
          <w:i/>
          <w:iCs/>
        </w:rPr>
        <w:t>p</w:t>
      </w:r>
      <w:r>
        <w:t xml:space="preserve"> = 0.43), or the SUIS (</w:t>
      </w:r>
      <w:r>
        <w:rPr>
          <w:i/>
          <w:iCs/>
        </w:rPr>
        <w:t>p</w:t>
      </w:r>
      <w:r>
        <w:t xml:space="preserve"> = 0.43). </w:t>
      </w:r>
      <w:r>
        <w:rPr>
          <w:shd w:val="clear" w:color="auto" w:fill="FFFF00"/>
        </w:rPr>
        <w:t>Interestingly, the congruence effect in the explicit task also did not correlate with the effect observed in the implicit task</w:t>
      </w:r>
      <w:r>
        <w:t xml:space="preserve"> (</w:t>
      </w:r>
      <w:r>
        <w:rPr>
          <w:i/>
          <w:iCs/>
        </w:rPr>
        <w:t>p</w:t>
      </w:r>
      <w:r>
        <w:t xml:space="preserve"> = 0.57). In the implicit task however, the congruence effect correlated with the VVIQ (</w:t>
      </w:r>
      <m:oMath>
        <m:r>
          <w:rPr>
            <w:rFonts w:ascii="Cambria Math" w:hAnsi="Cambria Math"/>
          </w:rPr>
          <m:t>ρ</m:t>
        </m:r>
      </m:oMath>
      <w:r>
        <w:t xml:space="preserve"> = 0.21, 95% CI [0.05, 0.37], </w:t>
      </w:r>
      <w:r>
        <w:rPr>
          <w:i/>
          <w:iCs/>
        </w:rPr>
        <w:t>p</w:t>
      </w:r>
      <w:r>
        <w:t xml:space="preserve"> = 0.02), the OSIQ-Object (</w:t>
      </w:r>
      <m:oMath>
        <m:r>
          <w:rPr>
            <w:rFonts w:ascii="Cambria Math" w:hAnsi="Cambria Math"/>
          </w:rPr>
          <m:t>ρ</m:t>
        </m:r>
      </m:oMath>
      <w:r>
        <w:t xml:space="preserve"> = 0.26, 95% CI [0.10, 0.40], </w:t>
      </w:r>
      <w:r>
        <w:rPr>
          <w:i/>
          <w:iCs/>
        </w:rPr>
        <w:t>p</w:t>
      </w:r>
      <w:r>
        <w:t xml:space="preserve"> = 0.003) and the SUIS (</w:t>
      </w:r>
      <m:oMath>
        <m:r>
          <w:rPr>
            <w:rFonts w:ascii="Cambria Math" w:hAnsi="Cambria Math"/>
          </w:rPr>
          <m:t>ρ</m:t>
        </m:r>
      </m:oMath>
      <w:r>
        <w:t xml:space="preserve"> = 0.27, 95% CI [0.11, 0.41], </w:t>
      </w:r>
      <w:r>
        <w:rPr>
          <w:i/>
          <w:iCs/>
        </w:rPr>
        <w:t>p</w:t>
      </w:r>
      <w:r>
        <w:t xml:space="preserve"> = 0.002), but no correlation with the OSIQ-Spatial (</w:t>
      </w:r>
      <m:oMath>
        <m:r>
          <w:rPr>
            <w:rFonts w:ascii="Cambria Math" w:hAnsi="Cambria Math"/>
          </w:rPr>
          <m:t>ρ</m:t>
        </m:r>
      </m:oMath>
      <w:r>
        <w:t xml:space="preserve"> = 0.05, 95% CI [-0.11, 0.21], </w:t>
      </w:r>
      <w:r>
        <w:rPr>
          <w:i/>
          <w:iCs/>
        </w:rPr>
        <w:t>p</w:t>
      </w:r>
      <w:r>
        <w:t xml:space="preserve"> = 0.57). All the pairwise correlations between the scores and the congruence effects in both tasks are presented in </w:t>
      </w:r>
      <w:hyperlink w:anchor="tbl-correlations">
        <w:r>
          <w:rPr>
            <w:rStyle w:val="Lienhypertexte"/>
          </w:rPr>
          <w:t>Table 1</w:t>
        </w:r>
      </w:hyperlink>
      <w:r>
        <w:t xml:space="preserve">. The three significant correlations of the implicit task congruence effects with the VVIQ, OSIQ-Object and SUIS are represented in </w:t>
      </w:r>
      <w:hyperlink w:anchor="fig-corr-plots">
        <w:r>
          <w:rPr>
            <w:rStyle w:val="Lienhypertexte"/>
          </w:rPr>
          <w:t>Figure 10</w:t>
        </w:r>
      </w:hyperlink>
      <w:r>
        <w:t>.</w:t>
      </w:r>
    </w:p>
    <w:tbl>
      <w:tblPr>
        <w:tblStyle w:val="Table"/>
        <w:tblW w:w="5000" w:type="pct"/>
        <w:tblLayout w:type="fixed"/>
        <w:tblLook w:val="0000" w:firstRow="0" w:lastRow="0" w:firstColumn="0" w:lastColumn="0" w:noHBand="0" w:noVBand="0"/>
      </w:tblPr>
      <w:tblGrid>
        <w:gridCol w:w="9054"/>
      </w:tblGrid>
      <w:tr w:rsidR="00D273CC" w14:paraId="19764FE3" w14:textId="77777777">
        <w:tc>
          <w:tcPr>
            <w:tcW w:w="7920" w:type="dxa"/>
          </w:tcPr>
          <w:p w14:paraId="1B98562B" w14:textId="77777777" w:rsidR="00D273CC" w:rsidRDefault="00000000">
            <w:pPr>
              <w:pStyle w:val="Compact"/>
            </w:pPr>
            <w:bookmarkStart w:id="44" w:name="fig-corr-plots"/>
            <w:r>
              <w:rPr>
                <w:noProof/>
              </w:rPr>
              <w:lastRenderedPageBreak/>
              <w:drawing>
                <wp:inline distT="0" distB="0" distL="0" distR="0" wp14:anchorId="40D1BE4A" wp14:editId="497DF539">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19"/>
                          <a:stretch>
                            <a:fillRect/>
                          </a:stretch>
                        </pic:blipFill>
                        <pic:spPr bwMode="auto">
                          <a:xfrm>
                            <a:off x="0" y="0"/>
                            <a:ext cx="5600700" cy="4200524"/>
                          </a:xfrm>
                          <a:prstGeom prst="rect">
                            <a:avLst/>
                          </a:prstGeom>
                          <a:noFill/>
                          <a:ln w="9525">
                            <a:noFill/>
                            <a:headEnd/>
                            <a:tailEnd/>
                          </a:ln>
                        </pic:spPr>
                      </pic:pic>
                    </a:graphicData>
                  </a:graphic>
                </wp:inline>
              </w:drawing>
            </w:r>
          </w:p>
          <w:p w14:paraId="3E2E8377" w14:textId="77777777" w:rsidR="00D273CC" w:rsidRDefault="00000000">
            <w:pPr>
              <w:pStyle w:val="ImageCaption"/>
              <w:spacing w:before="200"/>
              <w:jc w:val="left"/>
            </w:pPr>
            <w:r>
              <w:t>Figure 10: Visualizations of the correlation between the congruence effect (i.e. the mean difference between incongruent and congruent RTs) in the implicit task and the VVIQ, OSIQ-Object and SUIS ranked scores. Aphantasics are represented with blue triangles, and controls with orange dots. All the observations are connected with a thin line to their group mean, represented as a bigger symbol. The black regression line denotes the Spearman correlation between the scores and the effect, independently of groups, along with its confidence interval.</w:t>
            </w:r>
          </w:p>
        </w:tc>
        <w:bookmarkEnd w:id="44"/>
      </w:tr>
    </w:tbl>
    <w:p w14:paraId="6AE38144" w14:textId="77777777" w:rsidR="00D273CC" w:rsidRDefault="00000000">
      <w:pPr>
        <w:pStyle w:val="Titre1"/>
      </w:pPr>
      <w:bookmarkStart w:id="45" w:name="discussion"/>
      <w:bookmarkEnd w:id="26"/>
      <w:bookmarkEnd w:id="42"/>
      <w:r>
        <w:t>4. Discussion</w:t>
      </w:r>
    </w:p>
    <w:p w14:paraId="34E30AAF" w14:textId="77777777" w:rsidR="00D273CC"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w:t>
      </w:r>
      <w:r>
        <w:lastRenderedPageBreak/>
        <w:t xml:space="preserve">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p>
    <w:p w14:paraId="051DB485" w14:textId="77777777" w:rsidR="00D273CC" w:rsidRDefault="00000000">
      <w:pPr>
        <w:pStyle w:val="Titre2"/>
      </w:pPr>
      <w:bookmarkStart w:id="46" w:name="X535f43e39556a935cf4b71e7672e15cac7658b7"/>
      <w:r>
        <w:t>4.1 Towards an implicit objective assessment of aphantasia</w:t>
      </w:r>
    </w:p>
    <w:p w14:paraId="5FA2F6BB" w14:textId="77777777" w:rsidR="00D273CC"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w:t>
      </w:r>
      <w:r>
        <w:lastRenderedPageBreak/>
        <w:t xml:space="preserve">hypothesis that the implicit task involved an unconscious form of mental imagery. </w:t>
      </w:r>
      <w:r>
        <w:rPr>
          <w:shd w:val="clear" w:color="auto" w:fill="FFFF00"/>
        </w:rPr>
        <w:t>Moreover, an in-depth analysis of finer-grained groups dissociating</w:t>
      </w:r>
      <w:r>
        <w:t xml:space="preserve"> “complete aphantasia” (VVIQ = 16) from “hypophantasia” (17 &lt; VVIQ &lt; 32) revealed striking differences that characterized the two sub-groups</w:t>
      </w:r>
      <w:r>
        <w:rPr>
          <w:rStyle w:val="Appelnotedebasdep"/>
        </w:rPr>
        <w:footnoteReference w:id="1"/>
      </w:r>
      <w:r>
        <w:t xml:space="preserve">. While the complete aphantasia group showed no priming effect in either the implicit and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 </w:t>
      </w:r>
      <w:r>
        <w:rPr>
          <w:shd w:val="clear" w:color="auto" w:fill="FFFF00"/>
        </w:rPr>
        <w:t>In light of these results, we propose that this novel online paradigm provides a foundation to develop implicit, objective behavioural assessments of visual imagery using a minimal setup, thereby opening new avenues for a large-scale, objective characterization of aphantasia.</w:t>
      </w:r>
    </w:p>
    <w:p w14:paraId="09E0486B" w14:textId="77777777" w:rsidR="00D273CC" w:rsidRDefault="00000000">
      <w:pPr>
        <w:pStyle w:val="Corpsdetexte"/>
      </w:pPr>
      <w:r>
        <w:rPr>
          <w:shd w:val="clear" w:color="auto" w:fill="FFFF00"/>
        </w:rPr>
        <w:t>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imagery, and encourages further investigation of such implicit effects on a real continuum to depart from group comparisons.</w:t>
      </w:r>
      <w:r>
        <w:t xml:space="preserve"> Future work investigating implicit behavioural effects which are correlated with visual imagery and observed at a </w:t>
      </w:r>
      <w:r>
        <w:rPr>
          <w:i/>
          <w:iCs/>
        </w:rPr>
        <w:t>by-participant</w:t>
      </w:r>
      <w:r>
        <w:t xml:space="preserve"> level will be crucial to further </w:t>
      </w:r>
      <w:r>
        <w:lastRenderedPageBreak/>
        <w:t>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p w14:paraId="7C46D43C" w14:textId="77777777" w:rsidR="00D273CC" w:rsidRDefault="00000000">
      <w:pPr>
        <w:pStyle w:val="Titre2"/>
      </w:pPr>
      <w:bookmarkStart w:id="47" w:name="X70f675c476cd1424616aed8af4c6d2ac20f1eff"/>
      <w:bookmarkEnd w:id="46"/>
      <w:r>
        <w:t>4.2 Unconscious mental imagery and sensorimotor simulation</w:t>
      </w:r>
    </w:p>
    <w:p w14:paraId="4448F7CF" w14:textId="77777777" w:rsidR="00D273CC"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“unconscious” mental images is relevant. The concept was introduced in the field of research on aphantasia research by Nanay (2020), but its ability to explain behavioural findings on aphantasia has been debated debated since (see e.g., Blomkvist, 2022; Krempel &amp; Monzel, 2024). These hypothetical unconscious mental images could neither be voluntarily produced by the participant nor consciously experienced, and are therefore by definition very hard to objectify. Muraki et al. (2023) suggest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w:t>
      </w:r>
      <w:r>
        <w:lastRenderedPageBreak/>
        <w:t xml:space="preserve">situation. In support of this hypothesis, Petilli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behaviour. </w:t>
      </w:r>
      <w:r>
        <w:rPr>
          <w:shd w:val="clear" w:color="auto" w:fill="FFFF00"/>
        </w:rPr>
        <w:t>Consequently, following the association drawn by</w:t>
      </w:r>
      <w:r>
        <w:t xml:space="preserve"> Muraki et al. (2023) between sensorimotor simulation and unconscious mental images, our results provide evidence that the simulation of the visual properties of incoming information could be reduced or absent in aphantasia.</w:t>
      </w:r>
    </w:p>
    <w:p w14:paraId="3E579D56" w14:textId="77777777" w:rsidR="00D273CC" w:rsidRDefault="00000000">
      <w:pPr>
        <w:pStyle w:val="Titre2"/>
      </w:pPr>
      <w:bookmarkStart w:id="48" w:name="X5b37657b6979476d11ded71d7eaa3860f2a54ba"/>
      <w:bookmarkEnd w:id="47"/>
      <w:r>
        <w:t>4.3 Alternative strategies and forms of imagery</w:t>
      </w:r>
    </w:p>
    <w:p w14:paraId="423BBD9D" w14:textId="77777777" w:rsidR="00D273CC"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 “blue patches have vertical lines”). During the tasks, participants could then have used such a representation when a prime was presented, which may have facilitated their </w:t>
      </w:r>
      <w:r>
        <w:lastRenderedPageBreak/>
        <w:t xml:space="preserve">response when the target’s colour was congruent with the colour of the prime. However, </w:t>
      </w:r>
      <w:r>
        <w:rPr>
          <w:shd w:val="clear" w:color="auto" w:fill="FFFF00"/>
        </w:rPr>
        <w:t>our tasks have the advantage of making the use of this type of strategies more difficult to adhere to, thanks to a condition in which the targets are not coloured.</w:t>
      </w:r>
      <w:r>
        <w:t xml:space="preserve"> As no semantic representations had been previously associated with uncoloured targets, a colour-based strategy was inappropriate for these stimuli. This type of strategy could even have been </w:t>
      </w:r>
      <w:r>
        <w:rPr>
          <w:shd w:val="clear" w:color="auto" w:fill="FFFF00"/>
        </w:rPr>
        <w:t>counter-productive</w:t>
      </w:r>
      <w:r>
        <w:t>,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14:paraId="08E613EB" w14:textId="77777777" w:rsidR="00D273CC" w:rsidRDefault="00000000">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w:t>
      </w:r>
      <w:r>
        <w:rPr>
          <w:shd w:val="clear" w:color="auto" w:fill="FFFF00"/>
        </w:rPr>
        <w:t>auditory</w:t>
      </w:r>
      <w:r>
        <w:t xml:space="preserve">,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w:t>
      </w:r>
      <w:r>
        <w:lastRenderedPageBreak/>
        <w:t>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Blazhenkova &amp; Pechenkova, 2019; Palermo et al., 2022). On the other hand, this entails that care should be taken to design tasks that target visual imagery as specifically as possible, manipulating item properties such as colour or shape while accounting for semantic and spatial properties of items (see e.g., Liu &amp; Bartolomeo, 2023).</w:t>
      </w:r>
    </w:p>
    <w:p w14:paraId="7D96D6B7" w14:textId="77777777" w:rsidR="00D273CC" w:rsidRDefault="00000000">
      <w:pPr>
        <w:pStyle w:val="Titre2"/>
      </w:pPr>
      <w:bookmarkStart w:id="49" w:name="consequences-on-aphantasia"/>
      <w:bookmarkEnd w:id="48"/>
      <w:r>
        <w:t>4.4 Consequences on aphantasia</w:t>
      </w:r>
    </w:p>
    <w:p w14:paraId="1EB81B1A" w14:textId="77777777" w:rsidR="00D273CC"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Furthermore, it has been shown that aphantasia does not meet the criteria of a pathological disorder</w:t>
      </w:r>
      <w:r>
        <w:t xml:space="preserve"> (see Blomkvist &amp; Marks, 2023; Monzel et al., 2023 for a discussion). Thus, the finding of reduced unconscious mental imagery (or sensorimotor simulation) in aphantasia may be best interpreted as showing that these processes might not play a crucial role as previously thought, for instance on conceptual processing (see e.g., Meteyard et al., 2012; Pecher &amp; Zeelenberg, 2018). Several recent studies even suggest that this attenuation of internal sensory representations in aphantasia could have positive consequences: Wicken et </w:t>
      </w:r>
      <w:r>
        <w:lastRenderedPageBreak/>
        <w:t>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17F46839" w14:textId="77777777" w:rsidR="00D273CC" w:rsidRDefault="00000000">
      <w:pPr>
        <w:pStyle w:val="Titre2"/>
      </w:pPr>
      <w:bookmarkStart w:id="50" w:name="conclusion"/>
      <w:bookmarkEnd w:id="49"/>
      <w:r>
        <w:t>4.5 Conclusion</w:t>
      </w:r>
    </w:p>
    <w:p w14:paraId="164F19E4" w14:textId="77777777" w:rsidR="00D273CC" w:rsidRDefault="00000000">
      <w:pPr>
        <w:pStyle w:val="FirstParagraph"/>
      </w:pPr>
      <w:r>
        <w:rPr>
          <w:shd w:val="clear" w:color="auto" w:fill="FFFF00"/>
        </w:rPr>
        <w:t>In sum, our findings provide evidence suggesting that</w:t>
      </w:r>
      <w:r>
        <w:t xml:space="preserve"> “total” 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p w14:paraId="73A108BB" w14:textId="77777777" w:rsidR="00D273CC" w:rsidRDefault="00000000">
      <w:pPr>
        <w:pStyle w:val="Titre1"/>
      </w:pPr>
      <w:bookmarkStart w:id="51" w:name="data-and-code-availability"/>
      <w:bookmarkEnd w:id="45"/>
      <w:bookmarkEnd w:id="50"/>
      <w:r>
        <w:lastRenderedPageBreak/>
        <w:t>Data and code availability</w:t>
      </w:r>
    </w:p>
    <w:p w14:paraId="03D8E406" w14:textId="77777777" w:rsidR="00D273CC" w:rsidRDefault="00000000">
      <w:pPr>
        <w:pStyle w:val="FirstParagraph"/>
      </w:pPr>
      <w:r>
        <w:t>All the materials and implementations of the questionnaires and tasks, the anonymised data, the analysis scripts, and in-depth analysis notebooks are all freely available on the Open Science Framework (</w:t>
      </w:r>
      <w:hyperlink r:id="rId20">
        <w:r>
          <w:rPr>
            <w:rStyle w:val="Lienhypertexte"/>
          </w:rPr>
          <w:t>https://osf.io/635dv/?view_only=72898c1e036c456b97e688629563a47f</w:t>
        </w:r>
      </w:hyperlink>
      <w:r>
        <w:t>).</w:t>
      </w:r>
    </w:p>
    <w:p w14:paraId="32B077D9" w14:textId="77777777" w:rsidR="00D273CC" w:rsidRDefault="00000000">
      <w:pPr>
        <w:pStyle w:val="Titre1"/>
      </w:pPr>
      <w:bookmarkStart w:id="52" w:name="author-contributions"/>
      <w:bookmarkEnd w:id="51"/>
      <w:r>
        <w:t>Author contributions</w:t>
      </w:r>
    </w:p>
    <w:p w14:paraId="36F2861E" w14:textId="77777777" w:rsidR="00D273CC" w:rsidRDefault="00000000">
      <w:pPr>
        <w:pStyle w:val="FirstParagraph"/>
      </w:pPr>
      <w:r>
        <w:rPr>
          <w:b/>
          <w:bCs/>
        </w:rPr>
        <w:t>Conceptualization</w:t>
      </w:r>
      <w:r>
        <w:t xml:space="preserve">: RP, EC, VR, CA, RV, GP. </w:t>
      </w:r>
      <w:r w:rsidRPr="00AD1429">
        <w:rPr>
          <w:b/>
          <w:bCs/>
          <w:lang w:val="it-IT"/>
        </w:rPr>
        <w:t xml:space="preserve">Data </w:t>
      </w:r>
      <w:proofErr w:type="spellStart"/>
      <w:r w:rsidRPr="00AD1429">
        <w:rPr>
          <w:b/>
          <w:bCs/>
          <w:lang w:val="it-IT"/>
        </w:rPr>
        <w:t>curation</w:t>
      </w:r>
      <w:proofErr w:type="spellEnd"/>
      <w:r w:rsidRPr="00AD1429">
        <w:rPr>
          <w:lang w:val="it-IT"/>
        </w:rP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Writing - Original Draft Preparation</w:t>
      </w:r>
      <w:r>
        <w:t xml:space="preserve">: RP, MD, EC, VR, GP. </w:t>
      </w:r>
      <w:r>
        <w:rPr>
          <w:b/>
          <w:bCs/>
        </w:rPr>
        <w:t>Writing - Review &amp; Editing</w:t>
      </w:r>
      <w:r>
        <w:t>: All authors.</w:t>
      </w:r>
    </w:p>
    <w:p w14:paraId="110FEEEA" w14:textId="77777777" w:rsidR="00D273CC" w:rsidRDefault="00000000">
      <w:pPr>
        <w:pStyle w:val="Titre1"/>
      </w:pPr>
      <w:bookmarkStart w:id="53" w:name="declaration-of-interest"/>
      <w:bookmarkEnd w:id="52"/>
      <w:r>
        <w:t>Declaration of interest</w:t>
      </w:r>
    </w:p>
    <w:p w14:paraId="2B4D3B76" w14:textId="77777777" w:rsidR="00D273CC" w:rsidRDefault="00000000">
      <w:pPr>
        <w:pStyle w:val="FirstParagraph"/>
      </w:pPr>
      <w:r>
        <w:t>None.</w:t>
      </w:r>
    </w:p>
    <w:p w14:paraId="4CEED709" w14:textId="77777777" w:rsidR="00D273CC" w:rsidRDefault="00000000">
      <w:r>
        <w:br w:type="page"/>
      </w:r>
    </w:p>
    <w:p w14:paraId="01BC64D1" w14:textId="77777777" w:rsidR="00D273CC" w:rsidRDefault="00000000">
      <w:pPr>
        <w:pStyle w:val="Titre1"/>
      </w:pPr>
      <w:bookmarkStart w:id="54" w:name="references"/>
      <w:bookmarkEnd w:id="53"/>
      <w:r>
        <w:lastRenderedPageBreak/>
        <w:t>References</w:t>
      </w:r>
    </w:p>
    <w:p w14:paraId="337452A9" w14:textId="77777777" w:rsidR="00D273CC" w:rsidRDefault="00000000">
      <w:pPr>
        <w:pStyle w:val="Bibliographie"/>
      </w:pPr>
      <w:bookmarkStart w:id="55" w:name="Xfd3623476125d7d4e9e5090eafd09584f50d978"/>
      <w:bookmarkStart w:id="56" w:name="refs"/>
      <w:r>
        <w:t xml:space="preserve">Amit, E., Hoeflin, C., Hamzah, N., &amp; Fedorenko, E. (2017). An asymmetrical relationship between verbal and visual thinking: Converging evidence from behavior and fMRI. </w:t>
      </w:r>
      <w:r>
        <w:rPr>
          <w:i/>
          <w:iCs/>
        </w:rPr>
        <w:t>NeuroImage</w:t>
      </w:r>
      <w:r>
        <w:t xml:space="preserve">, </w:t>
      </w:r>
      <w:r>
        <w:rPr>
          <w:i/>
          <w:iCs/>
        </w:rPr>
        <w:t>152</w:t>
      </w:r>
      <w:r>
        <w:t xml:space="preserve">, 619–627. </w:t>
      </w:r>
      <w:hyperlink r:id="rId21">
        <w:r>
          <w:rPr>
            <w:rStyle w:val="Lienhypertexte"/>
          </w:rPr>
          <w:t>https://doi.org/10.1016/j.neuroimage.2017.03.029</w:t>
        </w:r>
      </w:hyperlink>
    </w:p>
    <w:p w14:paraId="1093E1BC" w14:textId="77777777" w:rsidR="00D273CC"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2">
        <w:r>
          <w:rPr>
            <w:rStyle w:val="Lienhypertexte"/>
          </w:rPr>
          <w:t>https://doi.org/10.1016/j.cortex.2020.11.014</w:t>
        </w:r>
      </w:hyperlink>
    </w:p>
    <w:p w14:paraId="1447A697" w14:textId="77777777" w:rsidR="00D273CC"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3">
        <w:r>
          <w:rPr>
            <w:rStyle w:val="Lienhypertexte"/>
          </w:rPr>
          <w:t>https://doi.org/10.1146/annurev.psych.59.103006.093639</w:t>
        </w:r>
      </w:hyperlink>
    </w:p>
    <w:p w14:paraId="1BCEB8AA" w14:textId="77777777" w:rsidR="00D273CC"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4">
        <w:r>
          <w:rPr>
            <w:rStyle w:val="Lienhypertexte"/>
          </w:rPr>
          <w:t>https://doi.org/10.1098/rstb.2008.0319</w:t>
        </w:r>
      </w:hyperlink>
    </w:p>
    <w:p w14:paraId="648F0202" w14:textId="77777777" w:rsidR="00D273CC" w:rsidRDefault="00000000">
      <w:pPr>
        <w:pStyle w:val="Bibliographie"/>
      </w:pPr>
      <w:bookmarkStart w:id="60" w:name="ref-bates2014fitting"/>
      <w:bookmarkEnd w:id="59"/>
      <w:r w:rsidRPr="00AD1429">
        <w:rPr>
          <w:lang w:val="de-DE"/>
        </w:rPr>
        <w:t xml:space="preserve">Bates, D., Mächler, M., </w:t>
      </w:r>
      <w:proofErr w:type="spellStart"/>
      <w:r w:rsidRPr="00AD1429">
        <w:rPr>
          <w:lang w:val="de-DE"/>
        </w:rPr>
        <w:t>Bolker</w:t>
      </w:r>
      <w:proofErr w:type="spellEnd"/>
      <w:r w:rsidRPr="00AD1429">
        <w:rPr>
          <w:lang w:val="de-DE"/>
        </w:rPr>
        <w:t xml:space="preserve">, B., &amp; Walker, S. (2014). </w:t>
      </w:r>
      <w:r>
        <w:t xml:space="preserve">Fitting linear mixed-effects models using lme4. </w:t>
      </w:r>
      <w:r>
        <w:rPr>
          <w:i/>
          <w:iCs/>
        </w:rPr>
        <w:t>arXiv Preprint arXiv:1406.5823</w:t>
      </w:r>
      <w:r>
        <w:t>.</w:t>
      </w:r>
    </w:p>
    <w:p w14:paraId="5D4D0607" w14:textId="77777777" w:rsidR="00D273CC"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5">
        <w:r>
          <w:rPr>
            <w:rStyle w:val="Lienhypertexte"/>
          </w:rPr>
          <w:t>https://doi.org/10.1111/j.2517-6161.1995.tb02031.x</w:t>
        </w:r>
      </w:hyperlink>
    </w:p>
    <w:p w14:paraId="6EED2BAF" w14:textId="77777777" w:rsidR="00D273CC" w:rsidRDefault="00000000">
      <w:pPr>
        <w:pStyle w:val="Bibliographie"/>
      </w:pPr>
      <w:bookmarkStart w:id="62" w:name="X909e06948eb7fd903d9e2277f92e973f2de3fc5"/>
      <w:bookmarkEnd w:id="61"/>
      <w:r>
        <w:t xml:space="preserve">Blazhenkova, O., Kozhevnikov, M., &amp; Motes, M. A. (2006). Object-spatial imagery: A new self-report imagery questionnaire. </w:t>
      </w:r>
      <w:r>
        <w:rPr>
          <w:i/>
          <w:iCs/>
        </w:rPr>
        <w:t>Applied Cognitive Psychology</w:t>
      </w:r>
      <w:r>
        <w:t xml:space="preserve">, </w:t>
      </w:r>
      <w:r>
        <w:rPr>
          <w:i/>
          <w:iCs/>
        </w:rPr>
        <w:t>20</w:t>
      </w:r>
      <w:r>
        <w:t xml:space="preserve">(2), 239–263. </w:t>
      </w:r>
      <w:hyperlink r:id="rId26">
        <w:r>
          <w:rPr>
            <w:rStyle w:val="Lienhypertexte"/>
          </w:rPr>
          <w:t>https://doi.org/10.1002/acp.1182</w:t>
        </w:r>
      </w:hyperlink>
    </w:p>
    <w:p w14:paraId="1BB1BD0E" w14:textId="77777777" w:rsidR="00D273CC" w:rsidRDefault="00000000">
      <w:pPr>
        <w:pStyle w:val="Bibliographie"/>
      </w:pPr>
      <w:bookmarkStart w:id="63" w:name="ref-blazhenkovaTwoEyesBlind2019"/>
      <w:bookmarkEnd w:id="62"/>
      <w:r>
        <w:t xml:space="preserve">Blazhenkova, O., &amp; Pechenkova, E. (2019). The two eyes of the blind mind: Object vs. Spatial aphantasia? </w:t>
      </w:r>
      <w:r>
        <w:rPr>
          <w:i/>
          <w:iCs/>
        </w:rPr>
        <w:t>Russian Journal of Cognitive Science</w:t>
      </w:r>
      <w:r>
        <w:t xml:space="preserve">, </w:t>
      </w:r>
      <w:r>
        <w:rPr>
          <w:i/>
          <w:iCs/>
        </w:rPr>
        <w:t>6</w:t>
      </w:r>
      <w:r>
        <w:t>(4), 51–65.</w:t>
      </w:r>
    </w:p>
    <w:p w14:paraId="0CAE8BE5" w14:textId="77777777" w:rsidR="00D273CC"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7">
        <w:r>
          <w:rPr>
            <w:rStyle w:val="Lienhypertexte"/>
          </w:rPr>
          <w:t>https://doi.org/10.1111/mila.12432</w:t>
        </w:r>
      </w:hyperlink>
    </w:p>
    <w:p w14:paraId="1F398073" w14:textId="77777777" w:rsidR="00D273CC"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8">
        <w:r>
          <w:rPr>
            <w:rStyle w:val="Lienhypertexte"/>
          </w:rPr>
          <w:t>https://doi.org/10.1016/j.cortex.2023.09.004</w:t>
        </w:r>
      </w:hyperlink>
    </w:p>
    <w:p w14:paraId="7C016E5A" w14:textId="77777777" w:rsidR="00D273CC" w:rsidRPr="00AD1429" w:rsidRDefault="00000000">
      <w:pPr>
        <w:pStyle w:val="Bibliographie"/>
        <w:rPr>
          <w:lang w:val="fr-FR"/>
        </w:rPr>
      </w:pPr>
      <w:bookmarkStart w:id="66" w:name="ref-brunelWhenSeeingDog2013"/>
      <w:bookmarkEnd w:id="65"/>
      <w:r>
        <w:lastRenderedPageBreak/>
        <w:t xml:space="preserve">Brunel, L., Goldstone, R. L., Vallet, G., Riou, B., &amp; Versace, R. (2013). When Seeing a Dog Activates the Bark. </w:t>
      </w:r>
      <w:proofErr w:type="spellStart"/>
      <w:r w:rsidRPr="00AD1429">
        <w:rPr>
          <w:i/>
          <w:iCs/>
          <w:lang w:val="fr-FR"/>
        </w:rPr>
        <w:t>Experimental</w:t>
      </w:r>
      <w:proofErr w:type="spellEnd"/>
      <w:r w:rsidRPr="00AD1429">
        <w:rPr>
          <w:i/>
          <w:iCs/>
          <w:lang w:val="fr-FR"/>
        </w:rPr>
        <w:t xml:space="preserve"> Psychology</w:t>
      </w:r>
      <w:r w:rsidRPr="00AD1429">
        <w:rPr>
          <w:lang w:val="fr-FR"/>
        </w:rPr>
        <w:t xml:space="preserve">, </w:t>
      </w:r>
      <w:r w:rsidRPr="00AD1429">
        <w:rPr>
          <w:i/>
          <w:iCs/>
          <w:lang w:val="fr-FR"/>
        </w:rPr>
        <w:t>60</w:t>
      </w:r>
      <w:r w:rsidRPr="00AD1429">
        <w:rPr>
          <w:lang w:val="fr-FR"/>
        </w:rPr>
        <w:t xml:space="preserve">(2), 100–112. </w:t>
      </w:r>
      <w:hyperlink r:id="rId29">
        <w:r w:rsidRPr="00AD1429">
          <w:rPr>
            <w:rStyle w:val="Lienhypertexte"/>
            <w:lang w:val="fr-FR"/>
          </w:rPr>
          <w:t>https://doi.org/10.1027/1618-3169/a000176</w:t>
        </w:r>
      </w:hyperlink>
    </w:p>
    <w:p w14:paraId="5DF363D6" w14:textId="77777777" w:rsidR="00D273CC" w:rsidRDefault="00000000">
      <w:pPr>
        <w:pStyle w:val="Bibliographie"/>
      </w:pPr>
      <w:bookmarkStart w:id="67" w:name="ref-brunelSensoryNatureKnowledge2010"/>
      <w:bookmarkEnd w:id="66"/>
      <w:r w:rsidRPr="00AD1429">
        <w:rPr>
          <w:lang w:val="fr-FR"/>
        </w:rPr>
        <w:t xml:space="preserve">Brunel, L., </w:t>
      </w:r>
      <w:proofErr w:type="spellStart"/>
      <w:r w:rsidRPr="00AD1429">
        <w:rPr>
          <w:lang w:val="fr-FR"/>
        </w:rPr>
        <w:t>Lesourd</w:t>
      </w:r>
      <w:proofErr w:type="spellEnd"/>
      <w:r w:rsidRPr="00AD1429">
        <w:rPr>
          <w:lang w:val="fr-FR"/>
        </w:rPr>
        <w:t xml:space="preserve">, M., </w:t>
      </w:r>
      <w:proofErr w:type="spellStart"/>
      <w:r w:rsidRPr="00AD1429">
        <w:rPr>
          <w:lang w:val="fr-FR"/>
        </w:rPr>
        <w:t>Labeye</w:t>
      </w:r>
      <w:proofErr w:type="spellEnd"/>
      <w:r w:rsidRPr="00AD1429">
        <w:rPr>
          <w:lang w:val="fr-FR"/>
        </w:rPr>
        <w:t xml:space="preserve">, E., &amp; Versace, R. (2010). </w:t>
      </w:r>
      <w:r>
        <w:t xml:space="preserve">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5D49ED5F" w14:textId="77777777" w:rsidR="00D273CC" w:rsidRDefault="00000000">
      <w:pPr>
        <w:pStyle w:val="Bibliographie"/>
      </w:pPr>
      <w:bookmarkStart w:id="68" w:name="ref-burknerBrmsPackageBayesian2017"/>
      <w:bookmarkEnd w:id="67"/>
      <w:r>
        <w:t xml:space="preserve">Bürkner, P.-C. (2017). Brms: An R Package for Bayesian Multilevel Models Using Stan. </w:t>
      </w:r>
      <w:r>
        <w:rPr>
          <w:i/>
          <w:iCs/>
        </w:rPr>
        <w:t>Journal of Statistical Software</w:t>
      </w:r>
      <w:r>
        <w:t xml:space="preserve">, </w:t>
      </w:r>
      <w:r>
        <w:rPr>
          <w:i/>
          <w:iCs/>
        </w:rPr>
        <w:t>80</w:t>
      </w:r>
      <w:r>
        <w:t xml:space="preserve">, 1–28. </w:t>
      </w:r>
      <w:hyperlink r:id="rId30">
        <w:r>
          <w:rPr>
            <w:rStyle w:val="Lienhypertexte"/>
          </w:rPr>
          <w:t>https://doi.org/10.18637/jss.v080.i01</w:t>
        </w:r>
      </w:hyperlink>
    </w:p>
    <w:p w14:paraId="78242D2D" w14:textId="77777777" w:rsidR="00D273CC" w:rsidRPr="00AD1429" w:rsidRDefault="00000000">
      <w:pPr>
        <w:pStyle w:val="Bibliographie"/>
        <w:rPr>
          <w:lang w:val="fr-FR"/>
        </w:rPr>
      </w:pPr>
      <w:bookmarkStart w:id="69" w:name="Xfe4b8198a7c31aac5d9c4bfdd92a91390a54b2a"/>
      <w:bookmarkEnd w:id="68"/>
      <w:r>
        <w:t xml:space="preserve">Cabbai, G., Dance, C., Dienes, Z., Simner, J., Forster, S., &amp; Lush, P. (2023). Investigating relationships between trait visual imagery and phenomenological control: The role of context effects. </w:t>
      </w:r>
      <w:proofErr w:type="spellStart"/>
      <w:r w:rsidRPr="00AD1429">
        <w:rPr>
          <w:i/>
          <w:iCs/>
          <w:lang w:val="fr-FR"/>
        </w:rPr>
        <w:t>Unpublished</w:t>
      </w:r>
      <w:proofErr w:type="spellEnd"/>
      <w:r w:rsidRPr="00AD1429">
        <w:rPr>
          <w:lang w:val="fr-FR"/>
        </w:rPr>
        <w:t>.</w:t>
      </w:r>
    </w:p>
    <w:p w14:paraId="1EE6051F" w14:textId="77777777" w:rsidR="00D273CC" w:rsidRDefault="00000000">
      <w:pPr>
        <w:pStyle w:val="Bibliographie"/>
      </w:pPr>
      <w:bookmarkStart w:id="70" w:name="X4e1f508fc4b34175e7d3e37bfe735f695f5dc77"/>
      <w:bookmarkEnd w:id="69"/>
      <w:proofErr w:type="spellStart"/>
      <w:r w:rsidRPr="00AD1429">
        <w:rPr>
          <w:lang w:val="fr-FR"/>
        </w:rPr>
        <w:t>Ceschi</w:t>
      </w:r>
      <w:proofErr w:type="spellEnd"/>
      <w:r w:rsidRPr="00AD1429">
        <w:rPr>
          <w:lang w:val="fr-FR"/>
        </w:rPr>
        <w:t xml:space="preserve">, G., &amp; Pictet, A. (2018). </w:t>
      </w:r>
      <w:r w:rsidRPr="00AD1429">
        <w:rPr>
          <w:i/>
          <w:iCs/>
          <w:lang w:val="fr-FR"/>
        </w:rPr>
        <w:t>Imagerie mentale et psychothérapie: Un ouvrage sur la psychopathologie cognitive</w:t>
      </w:r>
      <w:r w:rsidRPr="00AD1429">
        <w:rPr>
          <w:lang w:val="fr-FR"/>
        </w:rPr>
        <w:t xml:space="preserve">. </w:t>
      </w:r>
      <w:proofErr w:type="spellStart"/>
      <w:r>
        <w:t>Mardaga</w:t>
      </w:r>
      <w:proofErr w:type="spellEnd"/>
      <w:r>
        <w:t>.</w:t>
      </w:r>
    </w:p>
    <w:p w14:paraId="795F2DC8" w14:textId="77777777" w:rsidR="00D273CC"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1">
        <w:r>
          <w:rPr>
            <w:rStyle w:val="Lienhypertexte"/>
          </w:rPr>
          <w:t>https://doi.org/10.1167/jov.23.9.5985</w:t>
        </w:r>
      </w:hyperlink>
    </w:p>
    <w:p w14:paraId="536C4259" w14:textId="77777777" w:rsidR="00D273CC" w:rsidRPr="00AD1429" w:rsidRDefault="00000000">
      <w:pPr>
        <w:pStyle w:val="Bibliographie"/>
        <w:rPr>
          <w:lang w:val="fr-FR"/>
        </w:rPr>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2">
        <w:r w:rsidRPr="00AD1429">
          <w:rPr>
            <w:rStyle w:val="Lienhypertexte"/>
            <w:lang w:val="fr-FR"/>
          </w:rPr>
          <w:t>https://doi.org/10.21203/rs.3.rs-3162223/v1</w:t>
        </w:r>
      </w:hyperlink>
    </w:p>
    <w:p w14:paraId="7B3A315C" w14:textId="77777777" w:rsidR="00D273CC" w:rsidRDefault="00000000">
      <w:pPr>
        <w:pStyle w:val="Bibliographie"/>
      </w:pPr>
      <w:bookmarkStart w:id="73" w:name="ref-dancePrevalenceAphantasiaImagery2022"/>
      <w:bookmarkEnd w:id="72"/>
      <w:r w:rsidRPr="00AD1429">
        <w:rPr>
          <w:lang w:val="fr-FR"/>
        </w:rPr>
        <w:t xml:space="preserve">Dance, C. J., </w:t>
      </w:r>
      <w:proofErr w:type="spellStart"/>
      <w:r w:rsidRPr="00AD1429">
        <w:rPr>
          <w:lang w:val="fr-FR"/>
        </w:rPr>
        <w:t>Ipser</w:t>
      </w:r>
      <w:proofErr w:type="spellEnd"/>
      <w:r w:rsidRPr="00AD1429">
        <w:rPr>
          <w:lang w:val="fr-FR"/>
        </w:rPr>
        <w:t xml:space="preserve">, A., &amp; </w:t>
      </w:r>
      <w:proofErr w:type="spellStart"/>
      <w:r w:rsidRPr="00AD1429">
        <w:rPr>
          <w:lang w:val="fr-FR"/>
        </w:rPr>
        <w:t>Simner</w:t>
      </w:r>
      <w:proofErr w:type="spellEnd"/>
      <w:r w:rsidRPr="00AD1429">
        <w:rPr>
          <w:lang w:val="fr-FR"/>
        </w:rPr>
        <w:t xml:space="preserve">, J. (2022). </w:t>
      </w:r>
      <w:r>
        <w:t xml:space="preserve">The prevalence of aphantasia (imagery weakness) in the general population. </w:t>
      </w:r>
      <w:r>
        <w:rPr>
          <w:i/>
          <w:iCs/>
        </w:rPr>
        <w:t>Consciousness and Cognition</w:t>
      </w:r>
      <w:r>
        <w:t xml:space="preserve">, </w:t>
      </w:r>
      <w:r>
        <w:rPr>
          <w:i/>
          <w:iCs/>
        </w:rPr>
        <w:t>97</w:t>
      </w:r>
      <w:r>
        <w:t xml:space="preserve">, 103243. </w:t>
      </w:r>
      <w:hyperlink r:id="rId33">
        <w:r>
          <w:rPr>
            <w:rStyle w:val="Lienhypertexte"/>
          </w:rPr>
          <w:t>https://doi.org/10.1016/j.concog.2021.103243</w:t>
        </w:r>
      </w:hyperlink>
    </w:p>
    <w:p w14:paraId="02849F3F" w14:textId="77777777" w:rsidR="00D273CC" w:rsidRDefault="00000000">
      <w:pPr>
        <w:pStyle w:val="Bibliographie"/>
      </w:pPr>
      <w:bookmarkStart w:id="74" w:name="ref-danceWhatRelationshipAphantasia2021"/>
      <w:bookmarkEnd w:id="73"/>
      <w:r>
        <w:t xml:space="preserve">Dance, C. J., Jaquiery, M., Eagleman, D. M., Porteous, D., Zeman, A., &amp; Simner, J. (2021). What is the relationship between aphantasia, synaesthesia and autism? </w:t>
      </w:r>
      <w:r>
        <w:rPr>
          <w:i/>
          <w:iCs/>
        </w:rPr>
        <w:t>Consciousness and Cognition</w:t>
      </w:r>
      <w:r>
        <w:t xml:space="preserve">, </w:t>
      </w:r>
      <w:r>
        <w:rPr>
          <w:i/>
          <w:iCs/>
        </w:rPr>
        <w:t>89</w:t>
      </w:r>
      <w:r>
        <w:t xml:space="preserve">, a103087 1–18. </w:t>
      </w:r>
      <w:hyperlink r:id="rId34">
        <w:r>
          <w:rPr>
            <w:rStyle w:val="Lienhypertexte"/>
          </w:rPr>
          <w:t>https://doi.org/10.1016/j.concog.2021.103087</w:t>
        </w:r>
      </w:hyperlink>
    </w:p>
    <w:p w14:paraId="34DDDB13" w14:textId="77777777" w:rsidR="00D273CC" w:rsidRDefault="00000000">
      <w:pPr>
        <w:pStyle w:val="Bibliographie"/>
      </w:pPr>
      <w:bookmarkStart w:id="75" w:name="ref-danceWhatLinkMental2021"/>
      <w:bookmarkEnd w:id="74"/>
      <w:r>
        <w:lastRenderedPageBreak/>
        <w:t xml:space="preserve">Dance, C. J., Ward, J., &amp; Simner, J. (2021). What is the Link Between Mental Imagery and Sensory Sensitivity? Insights from Aphantasia. </w:t>
      </w:r>
      <w:r>
        <w:rPr>
          <w:i/>
          <w:iCs/>
        </w:rPr>
        <w:t>Perception</w:t>
      </w:r>
      <w:r>
        <w:t xml:space="preserve">, </w:t>
      </w:r>
      <w:r>
        <w:rPr>
          <w:i/>
          <w:iCs/>
        </w:rPr>
        <w:t>50</w:t>
      </w:r>
      <w:r>
        <w:t xml:space="preserve">(9), 757–782. </w:t>
      </w:r>
      <w:hyperlink r:id="rId35">
        <w:r>
          <w:rPr>
            <w:rStyle w:val="Lienhypertexte"/>
          </w:rPr>
          <w:t>https://doi.org/10.1177/03010066211042186</w:t>
        </w:r>
      </w:hyperlink>
    </w:p>
    <w:p w14:paraId="3E2A41AB" w14:textId="77777777" w:rsidR="00D273CC" w:rsidRDefault="00000000">
      <w:pPr>
        <w:pStyle w:val="Bibliographie"/>
      </w:pPr>
      <w:bookmarkStart w:id="76" w:name="X1f734aca6fc884d900173d62593f637d73856f2"/>
      <w:bookmarkEnd w:id="75"/>
      <w:r>
        <w:t xml:space="preserve">Dawes, A., Keogh, R., Andrillon, T., &amp; Pearson, J. (2020). A cognitive profile of multi-sensory imagery, memory and dreaming in aphantasia. </w:t>
      </w:r>
      <w:r>
        <w:rPr>
          <w:i/>
          <w:iCs/>
        </w:rPr>
        <w:t>Scientific Reports</w:t>
      </w:r>
      <w:r>
        <w:t xml:space="preserve">, </w:t>
      </w:r>
      <w:r>
        <w:rPr>
          <w:i/>
          <w:iCs/>
        </w:rPr>
        <w:t>10</w:t>
      </w:r>
      <w:r>
        <w:t xml:space="preserve">(1), 10022. </w:t>
      </w:r>
      <w:hyperlink r:id="rId36">
        <w:r>
          <w:rPr>
            <w:rStyle w:val="Lienhypertexte"/>
          </w:rPr>
          <w:t>https://doi.org/10.1038/s41598-020-65705-7</w:t>
        </w:r>
      </w:hyperlink>
    </w:p>
    <w:p w14:paraId="76261ED3" w14:textId="77777777" w:rsidR="00D273CC"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2F797F76" w14:textId="77777777" w:rsidR="00D273CC" w:rsidRDefault="00000000">
      <w:pPr>
        <w:pStyle w:val="Bibliographie"/>
      </w:pPr>
      <w:bookmarkStart w:id="78" w:name="ref-farahCaseStudyMental1988"/>
      <w:bookmarkEnd w:id="77"/>
      <w:r>
        <w:t xml:space="preserve">Farah, M. J., Levine, D. N., &amp; Calvanio, R. (1988). A case study of mental imagery deficit. </w:t>
      </w:r>
      <w:r>
        <w:rPr>
          <w:i/>
          <w:iCs/>
        </w:rPr>
        <w:t>Brain and Cognition</w:t>
      </w:r>
      <w:r>
        <w:t xml:space="preserve">, </w:t>
      </w:r>
      <w:r>
        <w:rPr>
          <w:i/>
          <w:iCs/>
        </w:rPr>
        <w:t>8</w:t>
      </w:r>
      <w:r>
        <w:t xml:space="preserve">(2), 147–164. </w:t>
      </w:r>
      <w:hyperlink r:id="rId37">
        <w:r>
          <w:rPr>
            <w:rStyle w:val="Lienhypertexte"/>
          </w:rPr>
          <w:t>https://doi.org/10.1016/0278-2626(88)90046-2</w:t>
        </w:r>
      </w:hyperlink>
    </w:p>
    <w:p w14:paraId="631BA09D" w14:textId="77777777" w:rsidR="00D273CC" w:rsidRDefault="00000000">
      <w:pPr>
        <w:pStyle w:val="Bibliographie"/>
      </w:pPr>
      <w:bookmarkStart w:id="79" w:name="ref-fawConflictingIntuitionsMay2009"/>
      <w:bookmarkEnd w:id="78"/>
      <w:r>
        <w:t xml:space="preserve">Faw, B. (2009). Conflicting Intuitions May Be Based On Differing Abilities. </w:t>
      </w:r>
      <w:r>
        <w:rPr>
          <w:i/>
          <w:iCs/>
        </w:rPr>
        <w:t>Journal of Consciousness Studies</w:t>
      </w:r>
      <w:r>
        <w:t>, 25.</w:t>
      </w:r>
    </w:p>
    <w:p w14:paraId="35EDA391" w14:textId="77777777" w:rsidR="00D273CC" w:rsidRPr="00AD1429" w:rsidRDefault="00000000">
      <w:pPr>
        <w:pStyle w:val="Bibliographie"/>
        <w:rPr>
          <w:lang w:val="it-IT"/>
        </w:rPr>
      </w:pPr>
      <w:bookmarkStart w:id="80" w:name="ref-R-car"/>
      <w:bookmarkEnd w:id="79"/>
      <w:r>
        <w:t xml:space="preserve">Fox, J., Weisberg, S., &amp; Price, B. (2023). </w:t>
      </w:r>
      <w:r>
        <w:rPr>
          <w:i/>
          <w:iCs/>
        </w:rPr>
        <w:t>Car: Companion to applied regression</w:t>
      </w:r>
      <w:r>
        <w:t xml:space="preserve">. </w:t>
      </w:r>
      <w:hyperlink r:id="rId38">
        <w:r w:rsidRPr="00AD1429">
          <w:rPr>
            <w:rStyle w:val="Lienhypertexte"/>
            <w:lang w:val="it-IT"/>
          </w:rPr>
          <w:t>https://r-forge.r-project.org/projects/car/</w:t>
        </w:r>
      </w:hyperlink>
    </w:p>
    <w:p w14:paraId="78A8C72A" w14:textId="77777777" w:rsidR="00D273CC" w:rsidRDefault="00000000">
      <w:pPr>
        <w:pStyle w:val="Bibliographie"/>
      </w:pPr>
      <w:bookmarkStart w:id="81" w:name="ref-fucciReadyHelpNo2023"/>
      <w:bookmarkEnd w:id="80"/>
      <w:r w:rsidRPr="00AD1429">
        <w:rPr>
          <w:lang w:val="it-IT"/>
        </w:rPr>
        <w:t xml:space="preserve">Fucci, E., </w:t>
      </w:r>
      <w:proofErr w:type="spellStart"/>
      <w:r w:rsidRPr="00AD1429">
        <w:rPr>
          <w:lang w:val="it-IT"/>
        </w:rPr>
        <w:t>Abdoun</w:t>
      </w:r>
      <w:proofErr w:type="spellEnd"/>
      <w:r w:rsidRPr="00AD1429">
        <w:rPr>
          <w:lang w:val="it-IT"/>
        </w:rPr>
        <w:t xml:space="preserve">, O., </w:t>
      </w:r>
      <w:proofErr w:type="spellStart"/>
      <w:r w:rsidRPr="00AD1429">
        <w:rPr>
          <w:lang w:val="it-IT"/>
        </w:rPr>
        <w:t>Baquedano</w:t>
      </w:r>
      <w:proofErr w:type="spellEnd"/>
      <w:r w:rsidRPr="00AD1429">
        <w:rPr>
          <w:lang w:val="it-IT"/>
        </w:rPr>
        <w:t xml:space="preserve">, C., &amp; Lutz, A. (2023). </w:t>
      </w:r>
      <w:r>
        <w:t xml:space="preserve">Ready to help, no matter what you did: Responsibility attribution does not influence compassion in expert Buddhist practitioners. </w:t>
      </w:r>
      <w:r>
        <w:rPr>
          <w:i/>
          <w:iCs/>
        </w:rPr>
        <w:t>Preprint</w:t>
      </w:r>
      <w:r>
        <w:t xml:space="preserve">. </w:t>
      </w:r>
      <w:hyperlink r:id="rId39">
        <w:r>
          <w:rPr>
            <w:rStyle w:val="Lienhypertexte"/>
          </w:rPr>
          <w:t>https://doi.org/10.31234/osf.io/d6y4w</w:t>
        </w:r>
      </w:hyperlink>
    </w:p>
    <w:p w14:paraId="7DEDA01F" w14:textId="77777777" w:rsidR="00D273CC" w:rsidRDefault="00000000">
      <w:pPr>
        <w:pStyle w:val="Bibliographie"/>
      </w:pPr>
      <w:bookmarkStart w:id="82" w:name="ref-galton1880"/>
      <w:bookmarkEnd w:id="81"/>
      <w:r>
        <w:t xml:space="preserve">Galton, F. (1880). Statistics of mental imagery. </w:t>
      </w:r>
      <w:r>
        <w:rPr>
          <w:i/>
          <w:iCs/>
        </w:rPr>
        <w:t>Mind</w:t>
      </w:r>
      <w:r>
        <w:t xml:space="preserve">, </w:t>
      </w:r>
      <w:r>
        <w:rPr>
          <w:i/>
          <w:iCs/>
        </w:rPr>
        <w:t>os-V</w:t>
      </w:r>
      <w:r>
        <w:t xml:space="preserve">(19), 301–318. </w:t>
      </w:r>
      <w:hyperlink r:id="rId40">
        <w:r>
          <w:rPr>
            <w:rStyle w:val="Lienhypertexte"/>
          </w:rPr>
          <w:t>https://doi.org/10.1093/mind/os-V.19.301</w:t>
        </w:r>
      </w:hyperlink>
    </w:p>
    <w:p w14:paraId="2024CDDC" w14:textId="77777777" w:rsidR="00D273CC" w:rsidRDefault="00000000">
      <w:pPr>
        <w:pStyle w:val="Bibliographie"/>
      </w:pPr>
      <w:bookmarkStart w:id="83" w:name="ref-greenSIMRPackagePower2016"/>
      <w:bookmarkEnd w:id="82"/>
      <w:r>
        <w:t xml:space="preserve">Green, P., &amp; MacLeod, C. J. (2016). </w:t>
      </w:r>
      <w:r>
        <w:rPr>
          <w:smallCaps/>
        </w:rPr>
        <w:t>SIMR</w:t>
      </w:r>
      <w:r>
        <w:t xml:space="preserve"> : An R package for power analysis of generalized linear mixed models by simulation. </w:t>
      </w:r>
      <w:r>
        <w:rPr>
          <w:i/>
          <w:iCs/>
        </w:rPr>
        <w:t>Methods in Ecology and Evolution</w:t>
      </w:r>
      <w:r>
        <w:t xml:space="preserve">, </w:t>
      </w:r>
      <w:r>
        <w:rPr>
          <w:i/>
          <w:iCs/>
        </w:rPr>
        <w:t>7</w:t>
      </w:r>
      <w:r>
        <w:t xml:space="preserve">(4), 493–498. </w:t>
      </w:r>
      <w:hyperlink r:id="rId41">
        <w:r>
          <w:rPr>
            <w:rStyle w:val="Lienhypertexte"/>
          </w:rPr>
          <w:t>https://doi.org/10.1111/2041-210X.12504</w:t>
        </w:r>
      </w:hyperlink>
    </w:p>
    <w:p w14:paraId="3EFA297E" w14:textId="77777777" w:rsidR="00D273CC" w:rsidRDefault="00000000">
      <w:pPr>
        <w:pStyle w:val="Bibliographie"/>
      </w:pPr>
      <w:bookmarkStart w:id="84" w:name="ref-jacobsVisualWorkingMemory2018"/>
      <w:bookmarkEnd w:id="83"/>
      <w:r>
        <w:t xml:space="preserve">Jacobs, C., Schwarzkopf, D. S., &amp; Silvanto, J. (2018). Visual working memory performance in aphantasia. </w:t>
      </w:r>
      <w:r>
        <w:rPr>
          <w:i/>
          <w:iCs/>
        </w:rPr>
        <w:t>Cortex</w:t>
      </w:r>
      <w:r>
        <w:t xml:space="preserve">, </w:t>
      </w:r>
      <w:r>
        <w:rPr>
          <w:i/>
          <w:iCs/>
        </w:rPr>
        <w:t>105</w:t>
      </w:r>
      <w:r>
        <w:t xml:space="preserve">, 61–73. </w:t>
      </w:r>
      <w:hyperlink r:id="rId42">
        <w:r>
          <w:rPr>
            <w:rStyle w:val="Lienhypertexte"/>
          </w:rPr>
          <w:t>https://doi.org/10.1016/j.cortex.2017.10.014</w:t>
        </w:r>
      </w:hyperlink>
    </w:p>
    <w:p w14:paraId="1E16A5EF" w14:textId="77777777" w:rsidR="00D273CC"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3">
        <w:r>
          <w:rPr>
            <w:rStyle w:val="Lienhypertexte"/>
          </w:rPr>
          <w:t>https://doi.org/10.1080/01621459.1995.10476572</w:t>
        </w:r>
      </w:hyperlink>
    </w:p>
    <w:p w14:paraId="65E88F86" w14:textId="77777777" w:rsidR="00D273CC" w:rsidRDefault="00000000">
      <w:pPr>
        <w:pStyle w:val="Bibliographie"/>
      </w:pPr>
      <w:bookmarkStart w:id="86" w:name="ref-kayPupillaryLightResponse2022"/>
      <w:bookmarkEnd w:id="85"/>
      <w:r>
        <w:lastRenderedPageBreak/>
        <w:t xml:space="preserve">Kay, L., Keogh, R., Andrillon, T., &amp; Pearson, J. (2022). The pupillary light response as a physiological index of aphantasia, sensory and phenomenological imagery strength. </w:t>
      </w:r>
      <w:r>
        <w:rPr>
          <w:i/>
          <w:iCs/>
        </w:rPr>
        <w:t>eLife</w:t>
      </w:r>
      <w:r>
        <w:t xml:space="preserve">, </w:t>
      </w:r>
      <w:r>
        <w:rPr>
          <w:i/>
          <w:iCs/>
        </w:rPr>
        <w:t>11</w:t>
      </w:r>
      <w:r>
        <w:t xml:space="preserve">, e72484. </w:t>
      </w:r>
      <w:hyperlink r:id="rId44">
        <w:r>
          <w:rPr>
            <w:rStyle w:val="Lienhypertexte"/>
          </w:rPr>
          <w:t>https://doi.org/10.7554/eLife.72484</w:t>
        </w:r>
      </w:hyperlink>
    </w:p>
    <w:p w14:paraId="25D6EF62" w14:textId="77777777" w:rsidR="00D273CC"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5">
        <w:r>
          <w:rPr>
            <w:rStyle w:val="Lienhypertexte"/>
          </w:rPr>
          <w:t>https://doi.org/10.1016/j.cortex.2017.10.012</w:t>
        </w:r>
      </w:hyperlink>
    </w:p>
    <w:p w14:paraId="41AA4510" w14:textId="77777777" w:rsidR="00D273CC"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6">
        <w:r>
          <w:rPr>
            <w:rStyle w:val="Lienhypertexte"/>
          </w:rPr>
          <w:t>https://doi.org/10.1098/rstb.2019.0688</w:t>
        </w:r>
      </w:hyperlink>
    </w:p>
    <w:p w14:paraId="3C285513" w14:textId="77777777" w:rsidR="00D273CC"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7">
        <w:r>
          <w:rPr>
            <w:rStyle w:val="Lienhypertexte"/>
          </w:rPr>
          <w:t>https://doi.org/10.1016/j.cortex.2021.07.012</w:t>
        </w:r>
      </w:hyperlink>
    </w:p>
    <w:p w14:paraId="725480B5" w14:textId="77777777" w:rsidR="00D273CC"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2EDA928C" w14:textId="77777777" w:rsidR="00D273CC"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1234C2D4" w14:textId="77777777" w:rsidR="00D273CC" w:rsidRDefault="00000000">
      <w:pPr>
        <w:pStyle w:val="Bibliographie"/>
      </w:pPr>
      <w:bookmarkStart w:id="92" w:name="Xe66707b47e7aaf507061b35817970a235c938cf"/>
      <w:bookmarkEnd w:id="91"/>
      <w:proofErr w:type="spellStart"/>
      <w:r w:rsidRPr="00AD1429">
        <w:rPr>
          <w:lang w:val="de-DE"/>
        </w:rPr>
        <w:t>Königsmark</w:t>
      </w:r>
      <w:proofErr w:type="spellEnd"/>
      <w:r w:rsidRPr="00AD1429">
        <w:rPr>
          <w:lang w:val="de-DE"/>
        </w:rPr>
        <w:t xml:space="preserve">, V. T., Bergmann, J., &amp; Reeder, R. R. (2021). </w:t>
      </w:r>
      <w:r>
        <w:t xml:space="preserve">The </w:t>
      </w:r>
      <w:proofErr w:type="spellStart"/>
      <w:r>
        <w:t>Ganzflicker</w:t>
      </w:r>
      <w:proofErr w:type="spellEnd"/>
      <w:r>
        <w:t xml:space="preserve"> experience: High probability of seeing vivid and complex pseudo-hallucinations with imagery but not aphantasia. </w:t>
      </w:r>
      <w:r>
        <w:rPr>
          <w:i/>
          <w:iCs/>
        </w:rPr>
        <w:t>Cortex</w:t>
      </w:r>
      <w:r>
        <w:t xml:space="preserve">, </w:t>
      </w:r>
      <w:r>
        <w:rPr>
          <w:i/>
          <w:iCs/>
        </w:rPr>
        <w:t>141</w:t>
      </w:r>
      <w:r>
        <w:t xml:space="preserve">, 522–534. </w:t>
      </w:r>
      <w:hyperlink r:id="rId48">
        <w:r>
          <w:rPr>
            <w:rStyle w:val="Lienhypertexte"/>
          </w:rPr>
          <w:t>https://doi.org/10.1016/j.cortex.2021.05.007</w:t>
        </w:r>
      </w:hyperlink>
    </w:p>
    <w:p w14:paraId="0D22FAD0" w14:textId="77777777" w:rsidR="00D273CC" w:rsidRDefault="00000000">
      <w:pPr>
        <w:pStyle w:val="Bibliographie"/>
      </w:pPr>
      <w:bookmarkStart w:id="93" w:name="Xabf0732ee14215567fae3fd6b6b19ba8645f549"/>
      <w:bookmarkEnd w:id="92"/>
      <w:r>
        <w:t xml:space="preserve">Krempel, R., &amp; Monzel, M. (2024). Aphantasia and involuntary imagery. </w:t>
      </w:r>
      <w:r>
        <w:rPr>
          <w:i/>
          <w:iCs/>
        </w:rPr>
        <w:t>Consciousness and Cognition</w:t>
      </w:r>
      <w:r>
        <w:t xml:space="preserve">, </w:t>
      </w:r>
      <w:r>
        <w:rPr>
          <w:i/>
          <w:iCs/>
        </w:rPr>
        <w:t>120</w:t>
      </w:r>
      <w:r>
        <w:t xml:space="preserve">, 103679. </w:t>
      </w:r>
      <w:hyperlink r:id="rId49">
        <w:r>
          <w:rPr>
            <w:rStyle w:val="Lienhypertexte"/>
          </w:rPr>
          <w:t>https://doi.org/10.1016/j.concog.2024.103679</w:t>
        </w:r>
      </w:hyperlink>
    </w:p>
    <w:p w14:paraId="11FCAF18" w14:textId="77777777" w:rsidR="00D273CC" w:rsidRDefault="00000000">
      <w:pPr>
        <w:pStyle w:val="Bibliographie"/>
      </w:pPr>
      <w:bookmarkStart w:id="94" w:name="ref-langeJustAnotherTool2015"/>
      <w:bookmarkEnd w:id="93"/>
      <w:r>
        <w:t xml:space="preserve">Lange, K., Kühn, S., &amp; Filevich,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50">
        <w:r>
          <w:rPr>
            <w:rStyle w:val="Lienhypertexte"/>
          </w:rPr>
          <w:t>https://doi.org/10.1371/journal.pone.0130834</w:t>
        </w:r>
      </w:hyperlink>
    </w:p>
    <w:p w14:paraId="25D5E1AB" w14:textId="77777777" w:rsidR="00D273CC" w:rsidRDefault="00000000">
      <w:pPr>
        <w:pStyle w:val="Bibliographie"/>
      </w:pPr>
      <w:bookmarkStart w:id="95" w:name="ref-leysDetectingOutliersNot2013"/>
      <w:bookmarkEnd w:id="94"/>
      <w:r>
        <w:t xml:space="preserve">Leys, C., Ley, C., Klein, O., Bernard, P., &amp; Licata, L. (2013). Detecting outliers: Do not use standard deviation around the mean, use absolute deviation around the median. </w:t>
      </w:r>
      <w:r>
        <w:rPr>
          <w:i/>
          <w:iCs/>
        </w:rPr>
        <w:t xml:space="preserve">Journal </w:t>
      </w:r>
      <w:r>
        <w:rPr>
          <w:i/>
          <w:iCs/>
        </w:rPr>
        <w:lastRenderedPageBreak/>
        <w:t>of Experimental Social Psychology</w:t>
      </w:r>
      <w:r>
        <w:t xml:space="preserve">, </w:t>
      </w:r>
      <w:r>
        <w:rPr>
          <w:i/>
          <w:iCs/>
        </w:rPr>
        <w:t>49</w:t>
      </w:r>
      <w:r>
        <w:t xml:space="preserve">(4), 764–766. </w:t>
      </w:r>
      <w:hyperlink r:id="rId51">
        <w:r>
          <w:rPr>
            <w:rStyle w:val="Lienhypertexte"/>
          </w:rPr>
          <w:t>https://doi.org/10.1016/j.jesp.2013.03.013</w:t>
        </w:r>
      </w:hyperlink>
    </w:p>
    <w:p w14:paraId="193F2E92" w14:textId="77777777" w:rsidR="00D273CC"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2">
        <w:r>
          <w:rPr>
            <w:rStyle w:val="Lienhypertexte"/>
          </w:rPr>
          <w:t>https://doi.org/10.1016/j.cortex.2023.06.003</w:t>
        </w:r>
      </w:hyperlink>
    </w:p>
    <w:p w14:paraId="27EA5B86" w14:textId="77777777" w:rsidR="00D273CC" w:rsidRDefault="00000000">
      <w:pPr>
        <w:pStyle w:val="Bibliographie"/>
      </w:pPr>
      <w:bookmarkStart w:id="97" w:name="ref-loTransformNotTransform2015"/>
      <w:bookmarkEnd w:id="96"/>
      <w:r>
        <w:t xml:space="preserve">Lo, S., &amp; Andrews, S. (2015). To transform or not to transform: Using generalized linear mixed models to analyse reaction time data. </w:t>
      </w:r>
      <w:r>
        <w:rPr>
          <w:i/>
          <w:iCs/>
        </w:rPr>
        <w:t>Frontiers in Psychology</w:t>
      </w:r>
      <w:r>
        <w:t xml:space="preserve">, </w:t>
      </w:r>
      <w:r>
        <w:rPr>
          <w:i/>
          <w:iCs/>
        </w:rPr>
        <w:t>6</w:t>
      </w:r>
      <w:r>
        <w:t>.</w:t>
      </w:r>
    </w:p>
    <w:p w14:paraId="64C5FE44" w14:textId="77777777" w:rsidR="00D273CC"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3">
        <w:r>
          <w:rPr>
            <w:rStyle w:val="Lienhypertexte"/>
          </w:rPr>
          <w:t>https://doi.org/10.1111/j.2044-8295.1973.tb01322.x</w:t>
        </w:r>
      </w:hyperlink>
    </w:p>
    <w:p w14:paraId="1AB867B3" w14:textId="77777777" w:rsidR="00D273CC"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2F6EEE35" w14:textId="77777777" w:rsidR="00D273CC" w:rsidRDefault="00000000">
      <w:pPr>
        <w:pStyle w:val="Bibliographie"/>
      </w:pPr>
      <w:bookmarkStart w:id="100" w:name="X005d9e29f642880f32112bcf7d163ce9e6ad9f0"/>
      <w:bookmarkEnd w:id="99"/>
      <w:r>
        <w:t xml:space="preserve">Mathôt, S., Schreij, D., &amp; Theeuwes, J. (2012). OpenSesame: An open-source, graphical experiment builder for the social sciences. </w:t>
      </w:r>
      <w:r>
        <w:rPr>
          <w:i/>
          <w:iCs/>
        </w:rPr>
        <w:t>Behavior Research Methods</w:t>
      </w:r>
      <w:r>
        <w:t xml:space="preserve">, </w:t>
      </w:r>
      <w:r>
        <w:rPr>
          <w:i/>
          <w:iCs/>
        </w:rPr>
        <w:t>44</w:t>
      </w:r>
      <w:r>
        <w:t xml:space="preserve">(2), 314–324. </w:t>
      </w:r>
      <w:hyperlink r:id="rId54">
        <w:r>
          <w:rPr>
            <w:rStyle w:val="Lienhypertexte"/>
          </w:rPr>
          <w:t>https://doi.org/10.3758/s13428-011-0168-7</w:t>
        </w:r>
      </w:hyperlink>
    </w:p>
    <w:p w14:paraId="4DB5393A" w14:textId="77777777" w:rsidR="00D273CC"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3C6134F8" w14:textId="77777777" w:rsidR="00D273CC" w:rsidRPr="00AD1429" w:rsidRDefault="00000000">
      <w:pPr>
        <w:pStyle w:val="Bibliographie"/>
        <w:rPr>
          <w:lang w:val="it-IT"/>
        </w:rPr>
      </w:pPr>
      <w:bookmarkStart w:id="102" w:name="ref-meteyardComingAgeReview2012"/>
      <w:bookmarkEnd w:id="101"/>
      <w:r>
        <w:t xml:space="preserve">Meteyard, L., Cuadrado, S. R., Bahrami, B., &amp; Vigliocco, G. (2012). Coming of age: A review of embodiment and the neuroscience of semantics. </w:t>
      </w:r>
      <w:r w:rsidRPr="00AD1429">
        <w:rPr>
          <w:i/>
          <w:iCs/>
          <w:lang w:val="it-IT"/>
        </w:rPr>
        <w:t>Cortex</w:t>
      </w:r>
      <w:r w:rsidRPr="00AD1429">
        <w:rPr>
          <w:lang w:val="it-IT"/>
        </w:rPr>
        <w:t xml:space="preserve">, </w:t>
      </w:r>
      <w:r w:rsidRPr="00AD1429">
        <w:rPr>
          <w:i/>
          <w:iCs/>
          <w:lang w:val="it-IT"/>
        </w:rPr>
        <w:t>48</w:t>
      </w:r>
      <w:r w:rsidRPr="00AD1429">
        <w:rPr>
          <w:lang w:val="it-IT"/>
        </w:rPr>
        <w:t xml:space="preserve">(7), 788–804. </w:t>
      </w:r>
      <w:hyperlink r:id="rId55">
        <w:r w:rsidRPr="00AD1429">
          <w:rPr>
            <w:rStyle w:val="Lienhypertexte"/>
            <w:lang w:val="it-IT"/>
          </w:rPr>
          <w:t>https://doi.org/10.1016/j.cortex.2010.11.002</w:t>
        </w:r>
      </w:hyperlink>
    </w:p>
    <w:p w14:paraId="7839F232" w14:textId="77777777" w:rsidR="00D273CC" w:rsidRPr="00AD1429" w:rsidRDefault="00000000">
      <w:pPr>
        <w:pStyle w:val="Bibliographie"/>
        <w:rPr>
          <w:lang w:val="fr-FR"/>
        </w:rPr>
      </w:pPr>
      <w:bookmarkStart w:id="103" w:name="ref-milleSensMemoire2021"/>
      <w:bookmarkEnd w:id="102"/>
      <w:r w:rsidRPr="00AD1429">
        <w:rPr>
          <w:lang w:val="it-IT"/>
        </w:rPr>
        <w:t xml:space="preserve">Mille, J., Magnon, V., Versace, R., &amp; </w:t>
      </w:r>
      <w:proofErr w:type="spellStart"/>
      <w:r w:rsidRPr="00AD1429">
        <w:rPr>
          <w:lang w:val="it-IT"/>
        </w:rPr>
        <w:t>Vallet</w:t>
      </w:r>
      <w:proofErr w:type="spellEnd"/>
      <w:r w:rsidRPr="00AD1429">
        <w:rPr>
          <w:lang w:val="it-IT"/>
        </w:rPr>
        <w:t xml:space="preserve">, G. (2021). </w:t>
      </w:r>
      <w:r w:rsidRPr="00AD1429">
        <w:rPr>
          <w:lang w:val="fr-FR"/>
        </w:rPr>
        <w:t xml:space="preserve">Les "Sens” de la mémoire. </w:t>
      </w:r>
      <w:proofErr w:type="spellStart"/>
      <w:r w:rsidRPr="00AD1429">
        <w:rPr>
          <w:i/>
          <w:iCs/>
          <w:lang w:val="fr-FR"/>
        </w:rPr>
        <w:t>Intellectica</w:t>
      </w:r>
      <w:proofErr w:type="spellEnd"/>
      <w:r w:rsidRPr="00AD1429">
        <w:rPr>
          <w:i/>
          <w:iCs/>
          <w:lang w:val="fr-FR"/>
        </w:rPr>
        <w:t>. Revue de l’Association Pour La Recherche Cognitive</w:t>
      </w:r>
      <w:r w:rsidRPr="00AD1429">
        <w:rPr>
          <w:lang w:val="fr-FR"/>
        </w:rPr>
        <w:t xml:space="preserve">, </w:t>
      </w:r>
      <w:r w:rsidRPr="00AD1429">
        <w:rPr>
          <w:i/>
          <w:iCs/>
          <w:lang w:val="fr-FR"/>
        </w:rPr>
        <w:t>74</w:t>
      </w:r>
      <w:r w:rsidRPr="00AD1429">
        <w:rPr>
          <w:lang w:val="fr-FR"/>
        </w:rPr>
        <w:t xml:space="preserve">(1), 185–209. </w:t>
      </w:r>
      <w:hyperlink r:id="rId56">
        <w:r w:rsidRPr="00AD1429">
          <w:rPr>
            <w:rStyle w:val="Lienhypertexte"/>
            <w:lang w:val="fr-FR"/>
          </w:rPr>
          <w:t>https://doi.org/10.3406/intel.2021.1990</w:t>
        </w:r>
      </w:hyperlink>
    </w:p>
    <w:p w14:paraId="620D5BC7" w14:textId="77777777" w:rsidR="00D273CC" w:rsidRDefault="00000000">
      <w:pPr>
        <w:pStyle w:val="Bibliographie"/>
      </w:pPr>
      <w:bookmarkStart w:id="104" w:name="ref-miltonBehavioralNeuralSignatures2021"/>
      <w:bookmarkEnd w:id="103"/>
      <w:r w:rsidRPr="00AD1429">
        <w:rPr>
          <w:lang w:val="fr-FR"/>
        </w:rPr>
        <w:t xml:space="preserve">Milton, F., </w:t>
      </w:r>
      <w:proofErr w:type="spellStart"/>
      <w:r w:rsidRPr="00AD1429">
        <w:rPr>
          <w:lang w:val="fr-FR"/>
        </w:rPr>
        <w:t>Fulford</w:t>
      </w:r>
      <w:proofErr w:type="spellEnd"/>
      <w:r w:rsidRPr="00AD1429">
        <w:rPr>
          <w:lang w:val="fr-FR"/>
        </w:rPr>
        <w:t xml:space="preserve">, J., Dance, C., </w:t>
      </w:r>
      <w:proofErr w:type="spellStart"/>
      <w:r w:rsidRPr="00AD1429">
        <w:rPr>
          <w:lang w:val="fr-FR"/>
        </w:rPr>
        <w:t>Gaddum</w:t>
      </w:r>
      <w:proofErr w:type="spellEnd"/>
      <w:r w:rsidRPr="00AD1429">
        <w:rPr>
          <w:lang w:val="fr-FR"/>
        </w:rPr>
        <w:t xml:space="preserve">, J., </w:t>
      </w:r>
      <w:proofErr w:type="spellStart"/>
      <w:r w:rsidRPr="00AD1429">
        <w:rPr>
          <w:lang w:val="fr-FR"/>
        </w:rPr>
        <w:t>Heuerman</w:t>
      </w:r>
      <w:proofErr w:type="spellEnd"/>
      <w:r w:rsidRPr="00AD1429">
        <w:rPr>
          <w:lang w:val="fr-FR"/>
        </w:rPr>
        <w:t xml:space="preserve">-Williamson, B., Jones, K., Knight, K. F., </w:t>
      </w:r>
      <w:proofErr w:type="spellStart"/>
      <w:r w:rsidRPr="00AD1429">
        <w:rPr>
          <w:lang w:val="fr-FR"/>
        </w:rPr>
        <w:t>MacKisack</w:t>
      </w:r>
      <w:proofErr w:type="spellEnd"/>
      <w:r w:rsidRPr="00AD1429">
        <w:rPr>
          <w:lang w:val="fr-FR"/>
        </w:rPr>
        <w:t xml:space="preserve">, M., </w:t>
      </w:r>
      <w:proofErr w:type="spellStart"/>
      <w:r w:rsidRPr="00AD1429">
        <w:rPr>
          <w:lang w:val="fr-FR"/>
        </w:rPr>
        <w:t>Winlove</w:t>
      </w:r>
      <w:proofErr w:type="spellEnd"/>
      <w:r w:rsidRPr="00AD1429">
        <w:rPr>
          <w:lang w:val="fr-FR"/>
        </w:rPr>
        <w:t xml:space="preserve">, C., &amp; Zeman, A. (2021). </w:t>
      </w:r>
      <w:r>
        <w:t xml:space="preserve">Behavioral and Neural Signatures of Visual Imagery Vividness Extremes: Aphantasia versus Hyperphantasia. </w:t>
      </w:r>
      <w:r>
        <w:rPr>
          <w:i/>
          <w:iCs/>
        </w:rPr>
        <w:t>Cerebral Cortex Communications</w:t>
      </w:r>
      <w:r>
        <w:t xml:space="preserve">, </w:t>
      </w:r>
      <w:r>
        <w:rPr>
          <w:i/>
          <w:iCs/>
        </w:rPr>
        <w:t>2</w:t>
      </w:r>
      <w:r>
        <w:t xml:space="preserve">(2), tgab035. </w:t>
      </w:r>
      <w:hyperlink r:id="rId57">
        <w:r>
          <w:rPr>
            <w:rStyle w:val="Lienhypertexte"/>
          </w:rPr>
          <w:t>https://doi.org/10.1093/texcom/tgab035</w:t>
        </w:r>
      </w:hyperlink>
    </w:p>
    <w:p w14:paraId="3586C59F" w14:textId="77777777" w:rsidR="00D273CC" w:rsidRDefault="00000000">
      <w:pPr>
        <w:pStyle w:val="Bibliographie"/>
      </w:pPr>
      <w:bookmarkStart w:id="105" w:name="ref-monzelImagineYouWill2021"/>
      <w:bookmarkEnd w:id="104"/>
      <w:r>
        <w:lastRenderedPageBreak/>
        <w:t xml:space="preserve">Monzel, M., Keidel, K., &amp; Reuter, M. (2021). Imagine, and you will find  Lack of attentional guidance through visual imagery in aphantasics. </w:t>
      </w:r>
      <w:r>
        <w:rPr>
          <w:i/>
          <w:iCs/>
        </w:rPr>
        <w:t>Attention, Perception, &amp; Psychophysics</w:t>
      </w:r>
      <w:r>
        <w:t xml:space="preserve">, </w:t>
      </w:r>
      <w:r>
        <w:rPr>
          <w:i/>
          <w:iCs/>
        </w:rPr>
        <w:t>83</w:t>
      </w:r>
      <w:r>
        <w:t xml:space="preserve">(6), 2486–2497. </w:t>
      </w:r>
      <w:hyperlink r:id="rId58">
        <w:r>
          <w:rPr>
            <w:rStyle w:val="Lienhypertexte"/>
          </w:rPr>
          <w:t>https://doi.org/10.3758/s13414-021-02307-z</w:t>
        </w:r>
      </w:hyperlink>
    </w:p>
    <w:p w14:paraId="0E5846EC" w14:textId="77777777" w:rsidR="00D273CC" w:rsidRDefault="00000000">
      <w:pPr>
        <w:pStyle w:val="Bibliographie"/>
      </w:pPr>
      <w:bookmarkStart w:id="106" w:name="ref-monzelMemoryDeficitsAphantasics2022"/>
      <w:bookmarkEnd w:id="105"/>
      <w:r>
        <w:t xml:space="preserve">Monzel, M., Vetterlein, A., &amp; Reuter, M. (2022). Memory deficits in aphantasics are not restricted to autobiographical memory  Perspectives from the Dual Coding Approach. </w:t>
      </w:r>
      <w:r>
        <w:rPr>
          <w:i/>
          <w:iCs/>
        </w:rPr>
        <w:t>Journal of Neuropsychology</w:t>
      </w:r>
      <w:r>
        <w:t xml:space="preserve">, </w:t>
      </w:r>
      <w:r>
        <w:rPr>
          <w:i/>
          <w:iCs/>
        </w:rPr>
        <w:t>16</w:t>
      </w:r>
      <w:r>
        <w:t xml:space="preserve">(2), 444–461. </w:t>
      </w:r>
      <w:hyperlink r:id="rId59">
        <w:r>
          <w:rPr>
            <w:rStyle w:val="Lienhypertexte"/>
          </w:rPr>
          <w:t>https://doi.org/10.1111/jnp.12265</w:t>
        </w:r>
      </w:hyperlink>
    </w:p>
    <w:p w14:paraId="6BA57D42" w14:textId="77777777" w:rsidR="00D273CC" w:rsidRDefault="00000000">
      <w:pPr>
        <w:pStyle w:val="Bibliographie"/>
      </w:pPr>
      <w:bookmarkStart w:id="107" w:name="ref-monzelNoGeneralPathological2023"/>
      <w:bookmarkEnd w:id="106"/>
      <w:r>
        <w:t xml:space="preserve">Monzel, M., Vetterlein,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60">
        <w:r>
          <w:rPr>
            <w:rStyle w:val="Lienhypertexte"/>
          </w:rPr>
          <w:t>https://doi.org/10.1111/sjop.12887</w:t>
        </w:r>
      </w:hyperlink>
    </w:p>
    <w:p w14:paraId="46C34FA7" w14:textId="77777777" w:rsidR="00D273CC" w:rsidRDefault="00000000">
      <w:pPr>
        <w:pStyle w:val="Bibliographie"/>
      </w:pPr>
      <w:bookmarkStart w:id="108" w:name="ref-murakiInsightsEmbodiedCognition2023"/>
      <w:bookmarkEnd w:id="107"/>
      <w:r>
        <w:t xml:space="preserve">Muraki, E. J., Speed, L. J., &amp; Pexman, P. M. (2023). Insights into embodied cognition and mental imagery from aphantasia. </w:t>
      </w:r>
      <w:r>
        <w:rPr>
          <w:i/>
          <w:iCs/>
        </w:rPr>
        <w:t>Nature Reviews Psychology</w:t>
      </w:r>
      <w:r>
        <w:t xml:space="preserve">. </w:t>
      </w:r>
      <w:hyperlink r:id="rId61">
        <w:r>
          <w:rPr>
            <w:rStyle w:val="Lienhypertexte"/>
          </w:rPr>
          <w:t>https://doi.org/10.1038/s44159-023-00221-9</w:t>
        </w:r>
      </w:hyperlink>
    </w:p>
    <w:p w14:paraId="4DD38B1D" w14:textId="77777777" w:rsidR="00D273CC"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62">
        <w:r>
          <w:rPr>
            <w:rStyle w:val="Lienhypertexte"/>
          </w:rPr>
          <w:t>https://doi.org/10.1098/rstb.2019.0689</w:t>
        </w:r>
      </w:hyperlink>
    </w:p>
    <w:p w14:paraId="478CC262" w14:textId="77777777" w:rsidR="00D273CC" w:rsidRDefault="00000000">
      <w:pPr>
        <w:pStyle w:val="Bibliographie"/>
      </w:pPr>
      <w:bookmarkStart w:id="110" w:name="ref-paivioImageryAbilityVisual1971"/>
      <w:bookmarkEnd w:id="109"/>
      <w:r>
        <w:t xml:space="preserve">Paivio, A., &amp; Ernest, C. H. (1971). Imagery ability and visual perception of verbal and nonverbal stimuli. </w:t>
      </w:r>
      <w:r>
        <w:rPr>
          <w:i/>
          <w:iCs/>
        </w:rPr>
        <w:t>Perception &amp; Psychophysics</w:t>
      </w:r>
      <w:r>
        <w:t xml:space="preserve">, </w:t>
      </w:r>
      <w:r>
        <w:rPr>
          <w:i/>
          <w:iCs/>
        </w:rPr>
        <w:t>10</w:t>
      </w:r>
      <w:r>
        <w:t xml:space="preserve">(6), 429–432. </w:t>
      </w:r>
      <w:hyperlink r:id="rId63">
        <w:r>
          <w:rPr>
            <w:rStyle w:val="Lienhypertexte"/>
          </w:rPr>
          <w:t>https://doi.org/10.3758/BF03210327</w:t>
        </w:r>
      </w:hyperlink>
    </w:p>
    <w:p w14:paraId="7E0A0430" w14:textId="77777777" w:rsidR="00D273CC" w:rsidRDefault="00000000">
      <w:pPr>
        <w:pStyle w:val="Bibliographie"/>
      </w:pPr>
      <w:bookmarkStart w:id="111" w:name="Xa510e39af95b036592150b23d83bcd6571c96ae"/>
      <w:bookmarkEnd w:id="110"/>
      <w:r>
        <w:t xml:space="preserve">Palermo, L., Boccia, M., Piccardi, L., &amp; Nori, R. (2022). Congenital lack and extraordinary ability in object and spatial imagery: An investigation on sub-types of aphantasia and hyperphantasia. </w:t>
      </w:r>
      <w:r>
        <w:rPr>
          <w:i/>
          <w:iCs/>
        </w:rPr>
        <w:t>Consciousness and Cognition</w:t>
      </w:r>
      <w:r>
        <w:t xml:space="preserve">, </w:t>
      </w:r>
      <w:r>
        <w:rPr>
          <w:i/>
          <w:iCs/>
        </w:rPr>
        <w:t>103</w:t>
      </w:r>
      <w:r>
        <w:t xml:space="preserve">, 103360. </w:t>
      </w:r>
      <w:hyperlink r:id="rId64">
        <w:r>
          <w:rPr>
            <w:rStyle w:val="Lienhypertexte"/>
          </w:rPr>
          <w:t>https://doi.org/10.1016/j.concog.2022.103360</w:t>
        </w:r>
      </w:hyperlink>
    </w:p>
    <w:p w14:paraId="614F966D" w14:textId="77777777" w:rsidR="00D273CC"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5">
        <w:r>
          <w:rPr>
            <w:rStyle w:val="Lienhypertexte"/>
          </w:rPr>
          <w:t>https://doi.org/10.1038/s41583-019-0202-9</w:t>
        </w:r>
      </w:hyperlink>
    </w:p>
    <w:p w14:paraId="454AD081" w14:textId="77777777" w:rsidR="00D273CC" w:rsidRDefault="00000000">
      <w:pPr>
        <w:pStyle w:val="Bibliographie"/>
      </w:pPr>
      <w:bookmarkStart w:id="113" w:name="Xe9b2484c3ab0b58a003c81a1277b12bd3263488"/>
      <w:bookmarkEnd w:id="112"/>
      <w:r>
        <w:t xml:space="preserve">Pecher, D., &amp; Zeelenberg, R. (2018). Boundaries to grounding abstract concepts. </w:t>
      </w:r>
      <w:r>
        <w:rPr>
          <w:i/>
          <w:iCs/>
        </w:rPr>
        <w:t>Philosophical Transactions of the Royal Society B: Biological Sciences</w:t>
      </w:r>
      <w:r>
        <w:t xml:space="preserve">, </w:t>
      </w:r>
      <w:r>
        <w:rPr>
          <w:i/>
          <w:iCs/>
        </w:rPr>
        <w:t>373</w:t>
      </w:r>
      <w:r>
        <w:t xml:space="preserve">(1752), 20170132. </w:t>
      </w:r>
      <w:hyperlink r:id="rId66">
        <w:r>
          <w:rPr>
            <w:rStyle w:val="Lienhypertexte"/>
          </w:rPr>
          <w:t>https://doi.org/10.1098/rstb.2017.0132</w:t>
        </w:r>
      </w:hyperlink>
    </w:p>
    <w:p w14:paraId="622DB6D5" w14:textId="77777777" w:rsidR="00D273CC" w:rsidRPr="00AD1429" w:rsidRDefault="00000000">
      <w:pPr>
        <w:pStyle w:val="Bibliographie"/>
        <w:rPr>
          <w:lang w:val="it-IT"/>
        </w:rPr>
      </w:pPr>
      <w:bookmarkStart w:id="114" w:name="ref-pekReportingEffectSizes2018"/>
      <w:bookmarkEnd w:id="113"/>
      <w:r>
        <w:lastRenderedPageBreak/>
        <w:t xml:space="preserve">Pek, J., &amp; Flora, D. B. (2018). Reporting effect sizes in original psychological research: A discussion and tutorial. </w:t>
      </w:r>
      <w:proofErr w:type="spellStart"/>
      <w:r w:rsidRPr="00AD1429">
        <w:rPr>
          <w:i/>
          <w:iCs/>
          <w:lang w:val="it-IT"/>
        </w:rPr>
        <w:t>Psychological</w:t>
      </w:r>
      <w:proofErr w:type="spellEnd"/>
      <w:r w:rsidRPr="00AD1429">
        <w:rPr>
          <w:i/>
          <w:iCs/>
          <w:lang w:val="it-IT"/>
        </w:rPr>
        <w:t xml:space="preserve"> Methods</w:t>
      </w:r>
      <w:r w:rsidRPr="00AD1429">
        <w:rPr>
          <w:lang w:val="it-IT"/>
        </w:rPr>
        <w:t xml:space="preserve">, </w:t>
      </w:r>
      <w:r w:rsidRPr="00AD1429">
        <w:rPr>
          <w:i/>
          <w:iCs/>
          <w:lang w:val="it-IT"/>
        </w:rPr>
        <w:t>23</w:t>
      </w:r>
      <w:r w:rsidRPr="00AD1429">
        <w:rPr>
          <w:lang w:val="it-IT"/>
        </w:rPr>
        <w:t xml:space="preserve">(2), 208–225. </w:t>
      </w:r>
      <w:hyperlink r:id="rId67">
        <w:r w:rsidRPr="00AD1429">
          <w:rPr>
            <w:rStyle w:val="Lienhypertexte"/>
            <w:lang w:val="it-IT"/>
          </w:rPr>
          <w:t>https://doi.org/10.1037/met0000126</w:t>
        </w:r>
      </w:hyperlink>
    </w:p>
    <w:p w14:paraId="0ECBFEA5" w14:textId="77777777" w:rsidR="00D273CC" w:rsidRDefault="00000000">
      <w:pPr>
        <w:pStyle w:val="Bibliographie"/>
      </w:pPr>
      <w:bookmarkStart w:id="115" w:name="X832eea74f79e687e0f59cb46537fbdf8cb1e783"/>
      <w:bookmarkEnd w:id="114"/>
      <w:r w:rsidRPr="00AD1429">
        <w:rPr>
          <w:lang w:val="it-IT"/>
        </w:rPr>
        <w:t xml:space="preserve">Petilli, M. A., Günther, F., </w:t>
      </w:r>
      <w:proofErr w:type="spellStart"/>
      <w:r w:rsidRPr="00AD1429">
        <w:rPr>
          <w:lang w:val="it-IT"/>
        </w:rPr>
        <w:t>Vergallito</w:t>
      </w:r>
      <w:proofErr w:type="spellEnd"/>
      <w:r w:rsidRPr="00AD1429">
        <w:rPr>
          <w:lang w:val="it-IT"/>
        </w:rPr>
        <w:t xml:space="preserve">, A., Ciapparelli, M., &amp; Marelli, M. (2021). </w:t>
      </w:r>
      <w:r>
        <w:t xml:space="preserve">Data-driven computational models reveal perceptual simulation in word processing. </w:t>
      </w:r>
      <w:r>
        <w:rPr>
          <w:i/>
          <w:iCs/>
        </w:rPr>
        <w:t>Journal of Memory and Language</w:t>
      </w:r>
      <w:r>
        <w:t xml:space="preserve">, </w:t>
      </w:r>
      <w:r>
        <w:rPr>
          <w:i/>
          <w:iCs/>
        </w:rPr>
        <w:t>117</w:t>
      </w:r>
      <w:r>
        <w:t xml:space="preserve">, 104194. </w:t>
      </w:r>
      <w:hyperlink r:id="rId68">
        <w:r>
          <w:rPr>
            <w:rStyle w:val="Lienhypertexte"/>
          </w:rPr>
          <w:t>https://doi.org/10.1016/j.jml.2020.104194</w:t>
        </w:r>
      </w:hyperlink>
    </w:p>
    <w:p w14:paraId="42F4BDAF" w14:textId="77777777" w:rsidR="00D273CC"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69">
        <w:r>
          <w:rPr>
            <w:rStyle w:val="Lienhypertexte"/>
          </w:rPr>
          <w:t>http://www.posit.co/</w:t>
        </w:r>
      </w:hyperlink>
    </w:p>
    <w:p w14:paraId="421DAFD3" w14:textId="77777777" w:rsidR="00D273CC"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70">
        <w:r>
          <w:rPr>
            <w:rStyle w:val="Lienhypertexte"/>
          </w:rPr>
          <w:t>https://www.R-project.org/</w:t>
        </w:r>
      </w:hyperlink>
    </w:p>
    <w:p w14:paraId="07EF15E9" w14:textId="77777777" w:rsidR="00D273CC" w:rsidRPr="00AD1429" w:rsidRDefault="00000000">
      <w:pPr>
        <w:pStyle w:val="Bibliographie"/>
        <w:rPr>
          <w:lang w:val="de-DE"/>
        </w:rPr>
      </w:pPr>
      <w:bookmarkStart w:id="118" w:name="ref-reederNonvisualSpatialStrategies2024"/>
      <w:bookmarkEnd w:id="117"/>
      <w:r>
        <w:t xml:space="preserve">Reeder, R., &amp; Pounder, Z. (2024). </w:t>
      </w:r>
      <w:r>
        <w:rPr>
          <w:i/>
          <w:iCs/>
        </w:rPr>
        <w:t>Non-visual spatial strategies are efficient for maintaining precise information in visual working memor</w:t>
      </w:r>
      <w:r>
        <w:t xml:space="preserve">. </w:t>
      </w:r>
      <w:hyperlink r:id="rId71">
        <w:r w:rsidRPr="00AD1429">
          <w:rPr>
            <w:rStyle w:val="Lienhypertexte"/>
            <w:lang w:val="de-DE"/>
          </w:rPr>
          <w:t>https://doi.org/10.31234/osf.io/gx2dv</w:t>
        </w:r>
      </w:hyperlink>
    </w:p>
    <w:p w14:paraId="7A284077" w14:textId="77777777" w:rsidR="00D273CC" w:rsidRDefault="00000000">
      <w:pPr>
        <w:pStyle w:val="Bibliographie"/>
      </w:pPr>
      <w:bookmarkStart w:id="119" w:name="ref-reisbergVisualMemoryWhen1986"/>
      <w:bookmarkEnd w:id="118"/>
      <w:r w:rsidRPr="00AD1429">
        <w:rPr>
          <w:lang w:val="de-DE"/>
        </w:rPr>
        <w:t xml:space="preserve">Reisberg, D., Culver, L. C., Heuer, F., &amp; </w:t>
      </w:r>
      <w:proofErr w:type="spellStart"/>
      <w:r w:rsidRPr="00AD1429">
        <w:rPr>
          <w:lang w:val="de-DE"/>
        </w:rPr>
        <w:t>Fischman</w:t>
      </w:r>
      <w:proofErr w:type="spellEnd"/>
      <w:r w:rsidRPr="00AD1429">
        <w:rPr>
          <w:lang w:val="de-DE"/>
        </w:rPr>
        <w:t xml:space="preserve">, D. (1986). </w:t>
      </w:r>
      <w:r>
        <w:t xml:space="preserve">Visual memory: When imagery vividness makes a difference. </w:t>
      </w:r>
      <w:r>
        <w:rPr>
          <w:i/>
          <w:iCs/>
        </w:rPr>
        <w:t>Journal of Mental Imagery</w:t>
      </w:r>
      <w:r>
        <w:t xml:space="preserve">, </w:t>
      </w:r>
      <w:r>
        <w:rPr>
          <w:i/>
          <w:iCs/>
        </w:rPr>
        <w:t>10</w:t>
      </w:r>
      <w:r>
        <w:t>(4), 51–74.</w:t>
      </w:r>
    </w:p>
    <w:p w14:paraId="753E179A" w14:textId="77777777" w:rsidR="00D273CC" w:rsidRDefault="00000000">
      <w:pPr>
        <w:pStyle w:val="Bibliographie"/>
      </w:pPr>
      <w:bookmarkStart w:id="120" w:name="ref-reyMaskWhoWasn2015"/>
      <w:bookmarkEnd w:id="119"/>
      <w:r>
        <w:t xml:space="preserve">Rey, A. E., Riou, B., Muller, D., Dabic,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72">
        <w:r>
          <w:rPr>
            <w:rStyle w:val="Lienhypertexte"/>
          </w:rPr>
          <w:t>https://doi.org/10.1037/xlm0000051</w:t>
        </w:r>
      </w:hyperlink>
    </w:p>
    <w:p w14:paraId="6A1C713E" w14:textId="77777777" w:rsidR="00D273CC" w:rsidRDefault="00000000">
      <w:pPr>
        <w:pStyle w:val="Bibliographie"/>
      </w:pPr>
      <w:bookmarkStart w:id="121" w:name="ref-reyAutomaticVisualSimulation2017"/>
      <w:bookmarkEnd w:id="120"/>
      <w:proofErr w:type="spellStart"/>
      <w:r w:rsidRPr="00AD1429">
        <w:rPr>
          <w:lang w:val="nl-NL"/>
        </w:rPr>
        <w:t>Rey</w:t>
      </w:r>
      <w:proofErr w:type="spellEnd"/>
      <w:r w:rsidRPr="00AD1429">
        <w:rPr>
          <w:lang w:val="nl-NL"/>
        </w:rPr>
        <w:t xml:space="preserve">, A. E., </w:t>
      </w:r>
      <w:proofErr w:type="spellStart"/>
      <w:r w:rsidRPr="00AD1429">
        <w:rPr>
          <w:lang w:val="nl-NL"/>
        </w:rPr>
        <w:t>Riou</w:t>
      </w:r>
      <w:proofErr w:type="spellEnd"/>
      <w:r w:rsidRPr="00AD1429">
        <w:rPr>
          <w:lang w:val="nl-NL"/>
        </w:rPr>
        <w:t xml:space="preserve">, B., </w:t>
      </w:r>
      <w:proofErr w:type="spellStart"/>
      <w:r w:rsidRPr="00AD1429">
        <w:rPr>
          <w:lang w:val="nl-NL"/>
        </w:rPr>
        <w:t>Vallet</w:t>
      </w:r>
      <w:proofErr w:type="spellEnd"/>
      <w:r w:rsidRPr="00AD1429">
        <w:rPr>
          <w:lang w:val="nl-NL"/>
        </w:rPr>
        <w:t xml:space="preserve">, G. T., &amp; Versace, R. (2017). </w:t>
      </w:r>
      <w:r>
        <w:t xml:space="preserve">The automatic visual simulation of words: A memory reactivated mask slows down conceptual access. </w:t>
      </w:r>
      <w:r w:rsidRPr="00AD1429">
        <w:rPr>
          <w:i/>
          <w:iCs/>
          <w:lang w:val="fr-FR"/>
        </w:rPr>
        <w:t xml:space="preserve">Canadian Journal of </w:t>
      </w:r>
      <w:proofErr w:type="spellStart"/>
      <w:r w:rsidRPr="00AD1429">
        <w:rPr>
          <w:i/>
          <w:iCs/>
          <w:lang w:val="fr-FR"/>
        </w:rPr>
        <w:t>Experimental</w:t>
      </w:r>
      <w:proofErr w:type="spellEnd"/>
      <w:r w:rsidRPr="00AD1429">
        <w:rPr>
          <w:i/>
          <w:iCs/>
          <w:lang w:val="fr-FR"/>
        </w:rPr>
        <w:t xml:space="preserve"> Psychology / Revue Canadienne de Psychologie Expérimentale</w:t>
      </w:r>
      <w:r w:rsidRPr="00AD1429">
        <w:rPr>
          <w:lang w:val="fr-FR"/>
        </w:rPr>
        <w:t xml:space="preserve">, </w:t>
      </w:r>
      <w:r w:rsidRPr="00AD1429">
        <w:rPr>
          <w:i/>
          <w:iCs/>
          <w:lang w:val="fr-FR"/>
        </w:rPr>
        <w:t>71</w:t>
      </w:r>
      <w:r w:rsidRPr="00AD1429">
        <w:rPr>
          <w:lang w:val="fr-FR"/>
        </w:rPr>
        <w:t xml:space="preserve">(1), 14–22. </w:t>
      </w:r>
      <w:hyperlink r:id="rId73">
        <w:r>
          <w:rPr>
            <w:rStyle w:val="Lienhypertexte"/>
          </w:rPr>
          <w:t>https://doi.org/10.1037/cep0000100</w:t>
        </w:r>
      </w:hyperlink>
    </w:p>
    <w:p w14:paraId="603152EE" w14:textId="77777777" w:rsidR="00D273CC" w:rsidRDefault="00000000">
      <w:pPr>
        <w:pStyle w:val="Bibliographie"/>
      </w:pPr>
      <w:bookmarkStart w:id="122" w:name="ref-reyWhenReactivatedVisual2018"/>
      <w:bookmarkEnd w:id="121"/>
      <w:r>
        <w:t xml:space="preserve">Rey, A. E., Versace, R., &amp; Plancher, G. (2018). When a reactivated visual mask disrupts serial recall: Evidence that refreshing relies on memory traces reactivation in working memory. </w:t>
      </w:r>
      <w:r>
        <w:rPr>
          <w:i/>
          <w:iCs/>
        </w:rPr>
        <w:t>Experimental Psychology</w:t>
      </w:r>
      <w:r>
        <w:t xml:space="preserve">, </w:t>
      </w:r>
      <w:r>
        <w:rPr>
          <w:i/>
          <w:iCs/>
        </w:rPr>
        <w:t>65</w:t>
      </w:r>
      <w:r>
        <w:t xml:space="preserve">(5), 263–271. </w:t>
      </w:r>
      <w:hyperlink r:id="rId74">
        <w:r>
          <w:rPr>
            <w:rStyle w:val="Lienhypertexte"/>
          </w:rPr>
          <w:t>https://doi.org/10.1027/1618-3169/a000414</w:t>
        </w:r>
      </w:hyperlink>
    </w:p>
    <w:p w14:paraId="5F475484" w14:textId="77777777" w:rsidR="00D273CC" w:rsidRDefault="00000000">
      <w:pPr>
        <w:pStyle w:val="Bibliographie"/>
      </w:pPr>
      <w:bookmarkStart w:id="123" w:name="Xcd72710cf2a4cb7a5463c670a50d62de22b0d97"/>
      <w:bookmarkEnd w:id="122"/>
      <w:r>
        <w:lastRenderedPageBreak/>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75">
        <w:r>
          <w:rPr>
            <w:rStyle w:val="Lienhypertexte"/>
          </w:rPr>
          <w:t>https://doi.org/10.1037/met0000184</w:t>
        </w:r>
      </w:hyperlink>
    </w:p>
    <w:p w14:paraId="4E8246E9" w14:textId="77777777" w:rsidR="00D273CC" w:rsidRPr="00AD1429" w:rsidRDefault="00000000">
      <w:pPr>
        <w:pStyle w:val="Bibliographie"/>
        <w:rPr>
          <w:lang w:val="fr-FR"/>
        </w:rPr>
      </w:pPr>
      <w:bookmarkStart w:id="124" w:name="ref-santarpiaEvaluerVivaciteImages2008"/>
      <w:bookmarkEnd w:id="123"/>
      <w:r>
        <w:t xml:space="preserve">Santarpia, A., Blanchet, A., Poinsot, R., Lambert, J.-F., Mininni, G., &amp; Thizon-Vidal, S. (2008). </w:t>
      </w:r>
      <w:r w:rsidRPr="00AD1429">
        <w:rPr>
          <w:lang w:val="fr-FR"/>
        </w:rPr>
        <w:t xml:space="preserve">Évaluer la vivacité des images mentales dans différentes populations françaises. </w:t>
      </w:r>
      <w:r w:rsidRPr="00AD1429">
        <w:rPr>
          <w:i/>
          <w:iCs/>
          <w:lang w:val="fr-FR"/>
        </w:rPr>
        <w:t>Pratiques Psychologiques</w:t>
      </w:r>
      <w:r w:rsidRPr="00AD1429">
        <w:rPr>
          <w:lang w:val="fr-FR"/>
        </w:rPr>
        <w:t xml:space="preserve">, </w:t>
      </w:r>
      <w:r w:rsidRPr="00AD1429">
        <w:rPr>
          <w:i/>
          <w:iCs/>
          <w:lang w:val="fr-FR"/>
        </w:rPr>
        <w:t>14</w:t>
      </w:r>
      <w:r w:rsidRPr="00AD1429">
        <w:rPr>
          <w:lang w:val="fr-FR"/>
        </w:rPr>
        <w:t xml:space="preserve">(3), 421–441. </w:t>
      </w:r>
      <w:hyperlink r:id="rId76">
        <w:r w:rsidRPr="00AD1429">
          <w:rPr>
            <w:rStyle w:val="Lienhypertexte"/>
            <w:lang w:val="fr-FR"/>
          </w:rPr>
          <w:t>https://doi.org/10.1016/j.prps.2007.11.001</w:t>
        </w:r>
      </w:hyperlink>
    </w:p>
    <w:p w14:paraId="76E73541" w14:textId="77777777" w:rsidR="00D273CC" w:rsidRDefault="00000000">
      <w:pPr>
        <w:pStyle w:val="Bibliographie"/>
      </w:pPr>
      <w:bookmarkStart w:id="125" w:name="X5b601546cf75c720f1df0ed6b832d2eff3e8f38"/>
      <w:bookmarkEnd w:id="124"/>
      <w:r w:rsidRPr="00AD1429">
        <w:rPr>
          <w:lang w:val="fr-FR"/>
        </w:rPr>
        <w:t xml:space="preserve">Sheehan, P. W. (1987). </w:t>
      </w:r>
      <w:r>
        <w:t xml:space="preserve">Toward understanding the variability in imagery test performance: Comments on unvividness paradox. </w:t>
      </w:r>
      <w:r>
        <w:rPr>
          <w:i/>
          <w:iCs/>
        </w:rPr>
        <w:t>Journal of Mental Imagery</w:t>
      </w:r>
      <w:r>
        <w:t xml:space="preserve">, </w:t>
      </w:r>
      <w:r>
        <w:rPr>
          <w:i/>
          <w:iCs/>
        </w:rPr>
        <w:t>11</w:t>
      </w:r>
      <w:r>
        <w:t>(1), 9–12.</w:t>
      </w:r>
    </w:p>
    <w:p w14:paraId="1EF2EBF0" w14:textId="77777777" w:rsidR="00D273CC"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7">
        <w:r>
          <w:rPr>
            <w:rStyle w:val="Lienhypertexte"/>
          </w:rPr>
          <w:t>https://doi.org/10.1016/0013-4694(60)90133-4</w:t>
        </w:r>
      </w:hyperlink>
    </w:p>
    <w:p w14:paraId="68520A43" w14:textId="77777777" w:rsidR="00D273CC" w:rsidRDefault="00000000">
      <w:pPr>
        <w:pStyle w:val="Bibliographie"/>
      </w:pPr>
      <w:bookmarkStart w:id="127" w:name="ref-slinnVividnessVisualImagery2023"/>
      <w:bookmarkEnd w:id="126"/>
      <w:r>
        <w:t xml:space="preserve">Slinn, C., Nikodemova, Z., Rosinski, A., &amp; Dijkstra, N. (2023). </w:t>
      </w:r>
      <w:r>
        <w:rPr>
          <w:i/>
          <w:iCs/>
        </w:rPr>
        <w:t>Vividness of visual imagery predicts performance on a visual working memory task when an imagery strategy is encouraged</w:t>
      </w:r>
      <w:r>
        <w:t xml:space="preserve">. PsyArXiv. </w:t>
      </w:r>
      <w:hyperlink r:id="rId78">
        <w:r>
          <w:rPr>
            <w:rStyle w:val="Lienhypertexte"/>
          </w:rPr>
          <w:t>https://doi.org/10.31234/osf.io/34wsv</w:t>
        </w:r>
      </w:hyperlink>
    </w:p>
    <w:p w14:paraId="2E608F65" w14:textId="77777777" w:rsidR="00D273CC" w:rsidRPr="00AD1429" w:rsidRDefault="00000000">
      <w:pPr>
        <w:pStyle w:val="Bibliographie"/>
        <w:rPr>
          <w:lang w:val="fr-FR"/>
        </w:rPr>
      </w:pPr>
      <w:bookmarkStart w:id="128" w:name="ref-valletPerceptualNatureCrossModal2010"/>
      <w:bookmarkEnd w:id="127"/>
      <w:r>
        <w:t xml:space="preserve">Vallet, G., Brunel, L., &amp; Versace, R. (2010). The Perceptual Nature of the Cross-Modal Priming Effect. </w:t>
      </w:r>
      <w:proofErr w:type="spellStart"/>
      <w:r w:rsidRPr="00AD1429">
        <w:rPr>
          <w:i/>
          <w:iCs/>
          <w:lang w:val="fr-FR"/>
        </w:rPr>
        <w:t>Experimental</w:t>
      </w:r>
      <w:proofErr w:type="spellEnd"/>
      <w:r w:rsidRPr="00AD1429">
        <w:rPr>
          <w:i/>
          <w:iCs/>
          <w:lang w:val="fr-FR"/>
        </w:rPr>
        <w:t xml:space="preserve"> Psychology</w:t>
      </w:r>
      <w:r w:rsidRPr="00AD1429">
        <w:rPr>
          <w:lang w:val="fr-FR"/>
        </w:rPr>
        <w:t xml:space="preserve">, </w:t>
      </w:r>
      <w:r w:rsidRPr="00AD1429">
        <w:rPr>
          <w:i/>
          <w:iCs/>
          <w:lang w:val="fr-FR"/>
        </w:rPr>
        <w:t>57</w:t>
      </w:r>
      <w:r w:rsidRPr="00AD1429">
        <w:rPr>
          <w:lang w:val="fr-FR"/>
        </w:rPr>
        <w:t xml:space="preserve">(5), 376–382. </w:t>
      </w:r>
      <w:hyperlink r:id="rId79">
        <w:r w:rsidRPr="00AD1429">
          <w:rPr>
            <w:rStyle w:val="Lienhypertexte"/>
            <w:lang w:val="fr-FR"/>
          </w:rPr>
          <w:t>https://doi.org/10.1027/1618-3169/a000045</w:t>
        </w:r>
      </w:hyperlink>
    </w:p>
    <w:p w14:paraId="4969F47A" w14:textId="77777777" w:rsidR="00D273CC" w:rsidRDefault="00000000">
      <w:pPr>
        <w:pStyle w:val="Bibliographie"/>
      </w:pPr>
      <w:bookmarkStart w:id="129" w:name="X4038e82bc8777777e23d5efcc67d4d922db4483"/>
      <w:bookmarkEnd w:id="128"/>
      <w:r w:rsidRPr="00AD1429">
        <w:rPr>
          <w:lang w:val="fr-FR"/>
        </w:rPr>
        <w:t xml:space="preserve">Versace, R., Brouillet, D., &amp; Vallet, G. (2018). </w:t>
      </w:r>
      <w:r w:rsidRPr="00AD1429">
        <w:rPr>
          <w:i/>
          <w:iCs/>
          <w:lang w:val="fr-FR"/>
        </w:rPr>
        <w:t>Cognition incarnée: Une cognition située et projetée</w:t>
      </w:r>
      <w:r w:rsidRPr="00AD1429">
        <w:rPr>
          <w:lang w:val="fr-FR"/>
        </w:rPr>
        <w:t xml:space="preserve">. </w:t>
      </w:r>
      <w:proofErr w:type="spellStart"/>
      <w:r>
        <w:t>Mardaga</w:t>
      </w:r>
      <w:proofErr w:type="spellEnd"/>
      <w:r>
        <w:t>.</w:t>
      </w:r>
    </w:p>
    <w:p w14:paraId="00D4BD8C" w14:textId="77777777" w:rsidR="00D273CC" w:rsidRPr="00AD1429" w:rsidRDefault="00000000">
      <w:pPr>
        <w:pStyle w:val="Bibliographie"/>
        <w:rPr>
          <w:lang w:val="fr-FR"/>
        </w:rPr>
      </w:pPr>
      <w:bookmarkStart w:id="130" w:name="ref-versaceContentsLongtermMemory2009"/>
      <w:bookmarkEnd w:id="129"/>
      <w:r>
        <w:t xml:space="preserve">Versace, R., Labeye, É., Badard, G., &amp; Rose, M. (2009). The contents of long-term memory and the emergence of knowledge. </w:t>
      </w:r>
      <w:proofErr w:type="spellStart"/>
      <w:r w:rsidRPr="00AD1429">
        <w:rPr>
          <w:i/>
          <w:iCs/>
          <w:lang w:val="fr-FR"/>
        </w:rPr>
        <w:t>European</w:t>
      </w:r>
      <w:proofErr w:type="spellEnd"/>
      <w:r w:rsidRPr="00AD1429">
        <w:rPr>
          <w:i/>
          <w:iCs/>
          <w:lang w:val="fr-FR"/>
        </w:rPr>
        <w:t xml:space="preserve"> Journal of Cognitive Psychology</w:t>
      </w:r>
      <w:r w:rsidRPr="00AD1429">
        <w:rPr>
          <w:lang w:val="fr-FR"/>
        </w:rPr>
        <w:t xml:space="preserve">, </w:t>
      </w:r>
      <w:r w:rsidRPr="00AD1429">
        <w:rPr>
          <w:i/>
          <w:iCs/>
          <w:lang w:val="fr-FR"/>
        </w:rPr>
        <w:t>21</w:t>
      </w:r>
      <w:r w:rsidRPr="00AD1429">
        <w:rPr>
          <w:lang w:val="fr-FR"/>
        </w:rPr>
        <w:t xml:space="preserve">(4), 522–560. </w:t>
      </w:r>
      <w:hyperlink r:id="rId80">
        <w:r w:rsidRPr="00AD1429">
          <w:rPr>
            <w:rStyle w:val="Lienhypertexte"/>
            <w:lang w:val="fr-FR"/>
          </w:rPr>
          <w:t>https://doi.org/10.1080/09541440801951844</w:t>
        </w:r>
      </w:hyperlink>
    </w:p>
    <w:p w14:paraId="7C78536F" w14:textId="77777777" w:rsidR="00D273CC" w:rsidRDefault="00000000">
      <w:pPr>
        <w:pStyle w:val="Bibliographie"/>
      </w:pPr>
      <w:bookmarkStart w:id="131" w:name="ref-versaceActInIntegratedView2014"/>
      <w:bookmarkEnd w:id="130"/>
      <w:r w:rsidRPr="00AD1429">
        <w:rPr>
          <w:lang w:val="fr-FR"/>
        </w:rPr>
        <w:t xml:space="preserve">Versace, R., Vallet, G. T., Riou, B., </w:t>
      </w:r>
      <w:proofErr w:type="spellStart"/>
      <w:r w:rsidRPr="00AD1429">
        <w:rPr>
          <w:lang w:val="fr-FR"/>
        </w:rPr>
        <w:t>Lesourd</w:t>
      </w:r>
      <w:proofErr w:type="spellEnd"/>
      <w:r w:rsidRPr="00AD1429">
        <w:rPr>
          <w:lang w:val="fr-FR"/>
        </w:rPr>
        <w:t xml:space="preserve">, M., </w:t>
      </w:r>
      <w:proofErr w:type="spellStart"/>
      <w:r w:rsidRPr="00AD1429">
        <w:rPr>
          <w:lang w:val="fr-FR"/>
        </w:rPr>
        <w:t>Labeye</w:t>
      </w:r>
      <w:proofErr w:type="spellEnd"/>
      <w:r w:rsidRPr="00AD1429">
        <w:rPr>
          <w:lang w:val="fr-FR"/>
        </w:rPr>
        <w:t xml:space="preserve">, É., &amp; Brunel, L. (2014). </w:t>
      </w:r>
      <w:r>
        <w:t xml:space="preserve">Act-In: An integrated view of memory mechanisms. </w:t>
      </w:r>
      <w:r>
        <w:rPr>
          <w:i/>
          <w:iCs/>
        </w:rPr>
        <w:t>Journal of Cognitive Psychology</w:t>
      </w:r>
      <w:r>
        <w:t xml:space="preserve">, </w:t>
      </w:r>
      <w:r>
        <w:rPr>
          <w:i/>
          <w:iCs/>
        </w:rPr>
        <w:t>26</w:t>
      </w:r>
      <w:r>
        <w:t xml:space="preserve">(3), 280–306. </w:t>
      </w:r>
      <w:hyperlink r:id="rId81">
        <w:r>
          <w:rPr>
            <w:rStyle w:val="Lienhypertexte"/>
          </w:rPr>
          <w:t>https://doi.org/10.1080/20445911.2014.892113</w:t>
        </w:r>
      </w:hyperlink>
    </w:p>
    <w:p w14:paraId="2F25D6A4" w14:textId="77777777" w:rsidR="00D273CC" w:rsidRDefault="00000000">
      <w:pPr>
        <w:pStyle w:val="Bibliographie"/>
      </w:pPr>
      <w:bookmarkStart w:id="132" w:name="ref-wickenCriticalRoleMental2021"/>
      <w:bookmarkEnd w:id="131"/>
      <w:r>
        <w:t xml:space="preserve">Wicken, M., Keogh, R., &amp; Pearson, J. (2021). The critical role of mental imagery in human emotion: Insights from fear-based imagery and aphantasia. </w:t>
      </w:r>
      <w:r>
        <w:rPr>
          <w:i/>
          <w:iCs/>
        </w:rPr>
        <w:t xml:space="preserve">Proceedings of the Royal </w:t>
      </w:r>
      <w:r>
        <w:rPr>
          <w:i/>
          <w:iCs/>
        </w:rPr>
        <w:lastRenderedPageBreak/>
        <w:t>Society B: Biological Sciences</w:t>
      </w:r>
      <w:r>
        <w:t xml:space="preserve">, </w:t>
      </w:r>
      <w:r>
        <w:rPr>
          <w:i/>
          <w:iCs/>
        </w:rPr>
        <w:t>288</w:t>
      </w:r>
      <w:r>
        <w:t xml:space="preserve">(1946), 20210267. </w:t>
      </w:r>
      <w:hyperlink r:id="rId82">
        <w:r>
          <w:rPr>
            <w:rStyle w:val="Lienhypertexte"/>
          </w:rPr>
          <w:t>https://doi.org/10.1098/rspb.2021.0267</w:t>
        </w:r>
      </w:hyperlink>
    </w:p>
    <w:p w14:paraId="59A8269F" w14:textId="77777777" w:rsidR="00D273CC" w:rsidRDefault="00000000">
      <w:pPr>
        <w:pStyle w:val="Bibliographie"/>
      </w:pPr>
      <w:bookmarkStart w:id="133" w:name="ref-zemanLivesImageryCongenital2015"/>
      <w:bookmarkEnd w:id="132"/>
      <w:r w:rsidRPr="00AD1429">
        <w:rPr>
          <w:lang w:val="it-IT"/>
        </w:rPr>
        <w:t xml:space="preserve">Zeman, A., Dewar, M., &amp; Della Sala, S. (2015). </w:t>
      </w:r>
      <w:r>
        <w:t xml:space="preserve">Lives without imagery  Congenital aphantasia. </w:t>
      </w:r>
      <w:r>
        <w:rPr>
          <w:i/>
          <w:iCs/>
        </w:rPr>
        <w:t>Cortex</w:t>
      </w:r>
      <w:r>
        <w:t xml:space="preserve">, </w:t>
      </w:r>
      <w:r>
        <w:rPr>
          <w:i/>
          <w:iCs/>
        </w:rPr>
        <w:t>73</w:t>
      </w:r>
      <w:r>
        <w:t xml:space="preserve">, 378–380. </w:t>
      </w:r>
      <w:hyperlink r:id="rId83">
        <w:r>
          <w:rPr>
            <w:rStyle w:val="Lienhypertexte"/>
          </w:rPr>
          <w:t>https://doi.org/10.1016/j.cortex.2015.05.019</w:t>
        </w:r>
      </w:hyperlink>
    </w:p>
    <w:p w14:paraId="22DE81D2" w14:textId="77777777" w:rsidR="00D273CC" w:rsidRDefault="00000000">
      <w:pPr>
        <w:pStyle w:val="Bibliographie"/>
      </w:pPr>
      <w:bookmarkStart w:id="134" w:name="Xa449e4d9d4acb2bb84a85dd500bf94054334e42"/>
      <w:bookmarkEnd w:id="133"/>
      <w:r>
        <w:t xml:space="preserve">Zeman, A., Milton, F., Della Sala, S., Dewar, M., Frayling, T., Gaddum, J., Hattersley, A., Heuerman-Williamson, B., Jones, K., MacKisack, M., &amp; Winlove, C. (2020). Phantasia psychological significance of lifelong visual imagery vividness extremes. </w:t>
      </w:r>
      <w:r>
        <w:rPr>
          <w:i/>
          <w:iCs/>
        </w:rPr>
        <w:t>Cortex</w:t>
      </w:r>
      <w:r>
        <w:t xml:space="preserve">, </w:t>
      </w:r>
      <w:r>
        <w:rPr>
          <w:i/>
          <w:iCs/>
        </w:rPr>
        <w:t>130</w:t>
      </w:r>
      <w:r>
        <w:t xml:space="preserve">, 426–440. </w:t>
      </w:r>
      <w:hyperlink r:id="rId84">
        <w:r>
          <w:rPr>
            <w:rStyle w:val="Lienhypertexte"/>
          </w:rPr>
          <w:t>https://doi.org/10.1016/j.cortex.2020.04.003</w:t>
        </w:r>
      </w:hyperlink>
      <w:bookmarkEnd w:id="54"/>
      <w:bookmarkEnd w:id="56"/>
      <w:bookmarkEnd w:id="134"/>
    </w:p>
    <w:sectPr w:rsidR="00D273CC" w:rsidSect="006C59C6">
      <w:headerReference w:type="even" r:id="rId85"/>
      <w:headerReference w:type="default" r:id="rId86"/>
      <w:footerReference w:type="even" r:id="rId87"/>
      <w:footerReference w:type="default" r:id="rId88"/>
      <w:headerReference w:type="first" r:id="rId89"/>
      <w:footerReference w:type="first" r:id="rId90"/>
      <w:pgSz w:w="12240" w:h="15840"/>
      <w:pgMar w:top="1417" w:right="1701" w:bottom="1417"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00B68" w14:textId="77777777" w:rsidR="00E52626" w:rsidRDefault="00E52626">
      <w:pPr>
        <w:spacing w:after="0" w:line="240" w:lineRule="auto"/>
      </w:pPr>
      <w:r>
        <w:separator/>
      </w:r>
    </w:p>
  </w:endnote>
  <w:endnote w:type="continuationSeparator" w:id="0">
    <w:p w14:paraId="42B3E2EF" w14:textId="77777777" w:rsidR="00E52626" w:rsidRDefault="00E52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60485" w14:textId="77777777" w:rsidR="00000000" w:rsidRDefault="0000000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2C377E17" w14:textId="77777777" w:rsidR="00000000"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7ECF0ED" w14:textId="77777777" w:rsidR="00000000" w:rsidRDefault="0000000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CBFAF" w14:textId="77777777" w:rsidR="00000000"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513BD" w14:textId="77777777" w:rsidR="00E52626" w:rsidRDefault="00E52626">
      <w:r>
        <w:separator/>
      </w:r>
    </w:p>
  </w:footnote>
  <w:footnote w:type="continuationSeparator" w:id="0">
    <w:p w14:paraId="706F49AF" w14:textId="77777777" w:rsidR="00E52626" w:rsidRDefault="00E52626">
      <w:r>
        <w:continuationSeparator/>
      </w:r>
    </w:p>
  </w:footnote>
  <w:footnote w:id="1">
    <w:p w14:paraId="74D5EF63" w14:textId="77777777" w:rsidR="00D273CC" w:rsidRDefault="00000000">
      <w:pPr>
        <w:pStyle w:val="Notedebasdepage"/>
      </w:pPr>
      <w:r>
        <w:rPr>
          <w:rStyle w:val="Appelnotedebasdep"/>
        </w:rPr>
        <w:footnoteRef/>
      </w:r>
      <w:r>
        <w:t xml:space="preserve"> </w:t>
      </w:r>
      <w:r>
        <w:rPr>
          <w:shd w:val="clear" w:color="auto" w:fill="FFFF00"/>
        </w:rPr>
        <w:t>We thank an anonymous reviewer for the suggestion of this crucial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3248F" w14:textId="77777777" w:rsidR="00000000" w:rsidRDefault="0000000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8891" w14:textId="77777777" w:rsidR="00000000" w:rsidRDefault="0000000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518AD" w14:textId="77777777" w:rsidR="00000000" w:rsidRDefault="0000000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B1832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1871410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fullPage" w:percent="76"/>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273CC"/>
    <w:rsid w:val="001047C3"/>
    <w:rsid w:val="001B044C"/>
    <w:rsid w:val="00AD1429"/>
    <w:rsid w:val="00D273CC"/>
    <w:rsid w:val="00E52626"/>
    <w:rsid w:val="00F14D4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B673A"/>
  <w15:docId w15:val="{6B86F7E2-4EF8-4A5B-94A4-B94FE2465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acp.1182" TargetMode="External"/><Relationship Id="rId21" Type="http://schemas.openxmlformats.org/officeDocument/2006/relationships/hyperlink" Target="https://doi.org/10.1016/j.neuroimage.2017.03.029"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3758/BF03210327" TargetMode="External"/><Relationship Id="rId68" Type="http://schemas.openxmlformats.org/officeDocument/2006/relationships/hyperlink" Target="https://doi.org/10.1016/j.jml.2020.104194" TargetMode="External"/><Relationship Id="rId84" Type="http://schemas.openxmlformats.org/officeDocument/2006/relationships/hyperlink" Target="https://doi.org/10.1016/j.cortex.2020.04.003" TargetMode="External"/><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hyperlink" Target="https://osf.io/635dv/?view_only=72898c1e036c456b97e688629563a47f" TargetMode="External"/><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1111/j.2044-8295.1973.tb01322.x" TargetMode="External"/><Relationship Id="rId58" Type="http://schemas.openxmlformats.org/officeDocument/2006/relationships/hyperlink" Target="https://doi.org/10.3758/s13414-021-02307-z" TargetMode="External"/><Relationship Id="rId74" Type="http://schemas.openxmlformats.org/officeDocument/2006/relationships/hyperlink" Target="https://doi.org/10.1027/1618-3169/a000414" TargetMode="External"/><Relationship Id="rId79" Type="http://schemas.openxmlformats.org/officeDocument/2006/relationships/hyperlink" Target="https://doi.org/10.1027/1618-3169/a000045"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doi.org/10.1016/j.cortex.2020.11.014" TargetMode="External"/><Relationship Id="rId27" Type="http://schemas.openxmlformats.org/officeDocument/2006/relationships/hyperlink" Target="https://doi.org/10.1111/mila.1243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rtex.2021.05.007" TargetMode="External"/><Relationship Id="rId56" Type="http://schemas.openxmlformats.org/officeDocument/2006/relationships/hyperlink" Target="https://doi.org/10.3406/intel.2021.1990" TargetMode="External"/><Relationship Id="rId64" Type="http://schemas.openxmlformats.org/officeDocument/2006/relationships/hyperlink" Target="https://doi.org/10.1016/j.concog.2022.103360" TargetMode="External"/><Relationship Id="rId69" Type="http://schemas.openxmlformats.org/officeDocument/2006/relationships/hyperlink" Target="http://www.posit.co/" TargetMode="External"/><Relationship Id="rId77" Type="http://schemas.openxmlformats.org/officeDocument/2006/relationships/hyperlink" Target="https://doi.org/10.1016/0013-4694(60)90133-4" TargetMode="External"/><Relationship Id="rId8" Type="http://schemas.openxmlformats.org/officeDocument/2006/relationships/image" Target="media/image1.png"/><Relationship Id="rId51" Type="http://schemas.openxmlformats.org/officeDocument/2006/relationships/hyperlink" Target="https://doi.org/10.1016/j.jesp.2013.03.013" TargetMode="External"/><Relationship Id="rId72" Type="http://schemas.openxmlformats.org/officeDocument/2006/relationships/hyperlink" Target="https://doi.org/10.1037/xlm0000051" TargetMode="External"/><Relationship Id="rId80" Type="http://schemas.openxmlformats.org/officeDocument/2006/relationships/hyperlink" Target="https://doi.org/10.1080/09541440801951844"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8.png"/><Relationship Id="rId25" Type="http://schemas.openxmlformats.org/officeDocument/2006/relationships/hyperlink" Target="https://doi.org/10.1111/j.2517-6161.1995.tb02031.x"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111/jnp.12265" TargetMode="External"/><Relationship Id="rId67" Type="http://schemas.openxmlformats.org/officeDocument/2006/relationships/hyperlink" Target="https://doi.org/10.1037/met0000126" TargetMode="External"/><Relationship Id="rId20" Type="http://schemas.openxmlformats.org/officeDocument/2006/relationships/hyperlink" Target="https://osf.io/635dv/?view_only=72898c1e036c456b97e688629563a47f" TargetMode="External"/><Relationship Id="rId41" Type="http://schemas.openxmlformats.org/officeDocument/2006/relationships/hyperlink" Target="https://doi.org/10.1111/2041-210X.12504" TargetMode="External"/><Relationship Id="rId54" Type="http://schemas.openxmlformats.org/officeDocument/2006/relationships/hyperlink" Target="https://doi.org/10.3758/s13428-011-0168-7" TargetMode="External"/><Relationship Id="rId62" Type="http://schemas.openxmlformats.org/officeDocument/2006/relationships/hyperlink" Target="https://doi.org/10.1098/rstb.2019.0689" TargetMode="External"/><Relationship Id="rId70" Type="http://schemas.openxmlformats.org/officeDocument/2006/relationships/hyperlink" Target="https://www.R-project.org/" TargetMode="External"/><Relationship Id="rId75" Type="http://schemas.openxmlformats.org/officeDocument/2006/relationships/hyperlink" Target="https://doi.org/10.1037/met0000184" TargetMode="External"/><Relationship Id="rId83" Type="http://schemas.openxmlformats.org/officeDocument/2006/relationships/hyperlink" Target="https://doi.org/10.1016/j.cortex.2015.05.019"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psych.59.103006.093639" TargetMode="External"/><Relationship Id="rId28" Type="http://schemas.openxmlformats.org/officeDocument/2006/relationships/hyperlink" Target="https://doi.org/10.1016/j.cortex.2023.09.004"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016/j.concog.2024.103679" TargetMode="External"/><Relationship Id="rId57" Type="http://schemas.openxmlformats.org/officeDocument/2006/relationships/hyperlink" Target="https://doi.org/10.1093/texcom/tgab035" TargetMode="External"/><Relationship Id="rId10" Type="http://schemas.openxmlformats.org/officeDocument/2006/relationships/image" Target="media/image3.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016/j.cortex.2023.06.003" TargetMode="External"/><Relationship Id="rId60" Type="http://schemas.openxmlformats.org/officeDocument/2006/relationships/hyperlink" Target="https://doi.org/10.1111/sjop.12887" TargetMode="External"/><Relationship Id="rId65" Type="http://schemas.openxmlformats.org/officeDocument/2006/relationships/hyperlink" Target="https://doi.org/10.1038/s41583-019-0202-9" TargetMode="External"/><Relationship Id="rId73" Type="http://schemas.openxmlformats.org/officeDocument/2006/relationships/hyperlink" Target="https://doi.org/10.1037/cep0000100" TargetMode="External"/><Relationship Id="rId78" Type="http://schemas.openxmlformats.org/officeDocument/2006/relationships/hyperlink" Target="https://doi.org/10.31234/osf.io/34wsv" TargetMode="External"/><Relationship Id="rId81" Type="http://schemas.openxmlformats.org/officeDocument/2006/relationships/hyperlink" Target="https://doi.org/10.1080/20445911.2014.892113"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371/journal.pone.0130834" TargetMode="External"/><Relationship Id="rId55" Type="http://schemas.openxmlformats.org/officeDocument/2006/relationships/hyperlink" Target="https://doi.org/10.1016/j.cortex.2010.11.002" TargetMode="External"/><Relationship Id="rId76" Type="http://schemas.openxmlformats.org/officeDocument/2006/relationships/hyperlink" Target="https://doi.org/10.1016/j.prps.2007.11.001" TargetMode="External"/><Relationship Id="rId7" Type="http://schemas.openxmlformats.org/officeDocument/2006/relationships/hyperlink" Target="https://osf.io/635dv/?view_only=72898c1e036c456b97e688629563a47f" TargetMode="External"/><Relationship Id="rId71" Type="http://schemas.openxmlformats.org/officeDocument/2006/relationships/hyperlink" Target="https://doi.org/10.31234/osf.io/gx2d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27/1618-3169/a000176" TargetMode="External"/><Relationship Id="rId24" Type="http://schemas.openxmlformats.org/officeDocument/2006/relationships/hyperlink" Target="https://doi.org/10.1098/rstb.2008.031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1098/rstb.2017.0132" TargetMode="External"/><Relationship Id="rId87" Type="http://schemas.openxmlformats.org/officeDocument/2006/relationships/footer" Target="footer1.xml"/><Relationship Id="rId61" Type="http://schemas.openxmlformats.org/officeDocument/2006/relationships/hyperlink" Target="https://doi.org/10.1038/s44159-023-00221-9" TargetMode="External"/><Relationship Id="rId82" Type="http://schemas.openxmlformats.org/officeDocument/2006/relationships/hyperlink" Target="https://doi.org/10.1098/rspb.2021.0267"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11525</Words>
  <Characters>65699</Characters>
  <Application>Microsoft Office Word</Application>
  <DocSecurity>0</DocSecurity>
  <Lines>547</Lines>
  <Paragraphs>154</Paragraphs>
  <ScaleCrop>false</ScaleCrop>
  <HeadingPairs>
    <vt:vector size="2" baseType="variant">
      <vt:variant>
        <vt:lpstr>Titre</vt:lpstr>
      </vt:variant>
      <vt:variant>
        <vt:i4>1</vt:i4>
      </vt:variant>
    </vt:vector>
  </HeadingPairs>
  <TitlesOfParts>
    <vt:vector size="1" baseType="lpstr">
      <vt:lpstr>Are there unconscious visual images in aphantasia? Development of an implicit priming paradigm</vt:lpstr>
    </vt:vector>
  </TitlesOfParts>
  <Company/>
  <LinksUpToDate>false</LinksUpToDate>
  <CharactersWithSpaces>77070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Mael Delem</cp:lastModifiedBy>
  <cp:revision>2</cp:revision>
  <dcterms:created xsi:type="dcterms:W3CDTF">2024-09-23T11:25:00Z</dcterms:created>
  <dcterms:modified xsi:type="dcterms:W3CDTF">2024-09-23T11:59:00Z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